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1E0" w:firstRow="1" w:lastRow="1" w:firstColumn="1" w:lastColumn="1" w:noHBand="0" w:noVBand="0"/>
      </w:tblPr>
      <w:tblGrid>
        <w:gridCol w:w="4351"/>
        <w:gridCol w:w="6444"/>
        <w:gridCol w:w="2155"/>
      </w:tblGrid>
      <w:tr w:rsidR="006621A2" w:rsidRPr="00245DFD" w:rsidTr="00101AF5">
        <w:tc>
          <w:tcPr>
            <w:tcW w:w="5000" w:type="pct"/>
            <w:gridSpan w:val="3"/>
            <w:tcBorders>
              <w:bottom w:val="single" w:sz="4" w:space="0" w:color="auto"/>
            </w:tcBorders>
            <w:shd w:val="clear" w:color="auto" w:fill="BFBFBF" w:themeFill="background1" w:themeFillShade="BF"/>
          </w:tcPr>
          <w:p w:rsidR="006621A2" w:rsidRPr="00245DFD" w:rsidRDefault="006621A2" w:rsidP="00FD137B">
            <w:pPr>
              <w:rPr>
                <w:rFonts w:ascii="Garamond" w:hAnsi="Garamond"/>
                <w:b/>
                <w:sz w:val="22"/>
                <w:szCs w:val="22"/>
              </w:rPr>
            </w:pPr>
            <w:r w:rsidRPr="00245DFD">
              <w:rPr>
                <w:rFonts w:ascii="Garamond" w:hAnsi="Garamond"/>
                <w:b/>
                <w:sz w:val="22"/>
                <w:szCs w:val="22"/>
              </w:rPr>
              <w:t xml:space="preserve">GOAL 3:  </w:t>
            </w:r>
            <w:r w:rsidRPr="00245DFD">
              <w:rPr>
                <w:rFonts w:ascii="Garamond" w:hAnsi="Garamond" w:cs="Arial"/>
                <w:sz w:val="22"/>
                <w:szCs w:val="22"/>
              </w:rPr>
              <w:t>Provide technical assistance for up to 125,000 family members, providers, self-advocates, and other agency personnel annually to increase the state’s capacity and policies to improve community supports, use of evidence-based interventions and education approaches, access assistive technology, adopt and incorporate principles of self-advocacy, universal design, inclusion, and health and wellness.</w:t>
            </w:r>
          </w:p>
        </w:tc>
      </w:tr>
      <w:tr w:rsidR="006621A2" w:rsidRPr="00245DFD" w:rsidTr="00101AF5">
        <w:tc>
          <w:tcPr>
            <w:tcW w:w="5000" w:type="pct"/>
            <w:gridSpan w:val="3"/>
            <w:shd w:val="clear" w:color="auto" w:fill="D9D9D9" w:themeFill="background1" w:themeFillShade="D9"/>
          </w:tcPr>
          <w:p w:rsidR="006621A2" w:rsidRPr="00245DFD" w:rsidRDefault="006621A2" w:rsidP="00FD137B">
            <w:pPr>
              <w:rPr>
                <w:rFonts w:ascii="Garamond" w:hAnsi="Garamond"/>
                <w:sz w:val="22"/>
                <w:szCs w:val="22"/>
              </w:rPr>
            </w:pPr>
            <w:r w:rsidRPr="00245DFD">
              <w:rPr>
                <w:rFonts w:ascii="Garamond" w:hAnsi="Garamond"/>
                <w:b/>
                <w:sz w:val="22"/>
                <w:szCs w:val="22"/>
              </w:rPr>
              <w:t>Core Function: Community Services</w:t>
            </w:r>
            <w:r w:rsidRPr="00245DFD">
              <w:rPr>
                <w:rFonts w:ascii="Garamond" w:hAnsi="Garamond"/>
                <w:sz w:val="22"/>
                <w:szCs w:val="22"/>
              </w:rPr>
              <w:t xml:space="preserve"> (</w:t>
            </w:r>
            <w:r w:rsidRPr="00245DFD">
              <w:rPr>
                <w:rFonts w:ascii="Garamond" w:hAnsi="Garamond"/>
                <w:b/>
                <w:i/>
                <w:sz w:val="22"/>
                <w:szCs w:val="22"/>
              </w:rPr>
              <w:t>Technical Assistance</w:t>
            </w:r>
            <w:r w:rsidRPr="00245DFD">
              <w:rPr>
                <w:rFonts w:ascii="Garamond" w:hAnsi="Garamond"/>
                <w:sz w:val="22"/>
                <w:szCs w:val="22"/>
              </w:rPr>
              <w:t>)</w:t>
            </w:r>
          </w:p>
          <w:p w:rsidR="006621A2" w:rsidRPr="00245DFD" w:rsidRDefault="006621A2" w:rsidP="00FD137B">
            <w:pPr>
              <w:rPr>
                <w:rFonts w:ascii="Garamond" w:hAnsi="Garamond"/>
                <w:b/>
                <w:sz w:val="22"/>
                <w:szCs w:val="22"/>
              </w:rPr>
            </w:pPr>
            <w:r w:rsidRPr="00245DFD">
              <w:rPr>
                <w:rFonts w:ascii="Garamond" w:hAnsi="Garamond"/>
                <w:b/>
                <w:sz w:val="22"/>
                <w:szCs w:val="22"/>
              </w:rPr>
              <w:t xml:space="preserve">Areas of Emphasis: </w:t>
            </w:r>
            <w:r w:rsidRPr="00245DFD">
              <w:rPr>
                <w:rFonts w:ascii="Garamond" w:hAnsi="Garamond" w:cs="Arial"/>
                <w:sz w:val="22"/>
                <w:szCs w:val="22"/>
              </w:rPr>
              <w:t>Education and Early Intervention, Child Care, Quality Assurance, Health, Employment, and other- Quality of Life and Assistive Technology</w:t>
            </w:r>
          </w:p>
        </w:tc>
      </w:tr>
      <w:tr w:rsidR="006621A2" w:rsidRPr="00245DFD" w:rsidTr="00101AF5">
        <w:tc>
          <w:tcPr>
            <w:tcW w:w="5000" w:type="pct"/>
            <w:gridSpan w:val="3"/>
            <w:tcBorders>
              <w:bottom w:val="single" w:sz="4" w:space="0" w:color="auto"/>
            </w:tcBorders>
          </w:tcPr>
          <w:p w:rsidR="006621A2" w:rsidRPr="00245DFD" w:rsidRDefault="006621A2" w:rsidP="00FD137B">
            <w:pPr>
              <w:rPr>
                <w:rFonts w:ascii="Garamond" w:hAnsi="Garamond"/>
                <w:sz w:val="22"/>
                <w:szCs w:val="22"/>
              </w:rPr>
            </w:pPr>
            <w:r w:rsidRPr="00245DFD">
              <w:rPr>
                <w:rFonts w:ascii="Garamond" w:hAnsi="Garamond"/>
                <w:b/>
                <w:sz w:val="22"/>
                <w:szCs w:val="22"/>
              </w:rPr>
              <w:t xml:space="preserve">Type of Activity:  </w:t>
            </w:r>
            <w:r w:rsidRPr="00245DFD">
              <w:rPr>
                <w:rFonts w:ascii="Garamond" w:hAnsi="Garamond" w:cs="Arial"/>
                <w:sz w:val="22"/>
                <w:szCs w:val="22"/>
              </w:rPr>
              <w:t>Advocacy, Systemic Change, Capacity Building</w:t>
            </w:r>
          </w:p>
        </w:tc>
      </w:tr>
      <w:tr w:rsidR="006621A2" w:rsidRPr="00245DFD" w:rsidTr="00101AF5">
        <w:tc>
          <w:tcPr>
            <w:tcW w:w="1680" w:type="pct"/>
            <w:shd w:val="clear" w:color="auto" w:fill="FFFFDD"/>
          </w:tcPr>
          <w:p w:rsidR="006621A2" w:rsidRPr="00245DFD" w:rsidRDefault="006621A2" w:rsidP="00FD137B">
            <w:pPr>
              <w:jc w:val="center"/>
              <w:rPr>
                <w:rFonts w:ascii="Garamond" w:hAnsi="Garamond"/>
                <w:b/>
                <w:sz w:val="22"/>
                <w:szCs w:val="22"/>
              </w:rPr>
            </w:pPr>
            <w:r w:rsidRPr="00245DFD">
              <w:rPr>
                <w:rFonts w:ascii="Garamond" w:hAnsi="Garamond"/>
                <w:b/>
                <w:sz w:val="22"/>
                <w:szCs w:val="22"/>
              </w:rPr>
              <w:t>Objectives (Annual Measures)</w:t>
            </w:r>
          </w:p>
        </w:tc>
        <w:tc>
          <w:tcPr>
            <w:tcW w:w="2488" w:type="pct"/>
            <w:shd w:val="clear" w:color="auto" w:fill="FFFFDD"/>
          </w:tcPr>
          <w:p w:rsidR="006621A2" w:rsidRPr="00245DFD" w:rsidRDefault="006621A2" w:rsidP="004F5D8D">
            <w:pPr>
              <w:jc w:val="center"/>
              <w:rPr>
                <w:rFonts w:ascii="Garamond" w:hAnsi="Garamond"/>
                <w:b/>
                <w:sz w:val="22"/>
                <w:szCs w:val="22"/>
              </w:rPr>
            </w:pPr>
            <w:r w:rsidRPr="00245DFD">
              <w:rPr>
                <w:rFonts w:ascii="Garamond" w:hAnsi="Garamond"/>
                <w:b/>
                <w:sz w:val="22"/>
                <w:szCs w:val="22"/>
              </w:rPr>
              <w:t xml:space="preserve">Major </w:t>
            </w:r>
            <w:r w:rsidR="004F5D8D">
              <w:rPr>
                <w:rFonts w:ascii="Garamond" w:hAnsi="Garamond"/>
                <w:b/>
                <w:sz w:val="22"/>
                <w:szCs w:val="22"/>
              </w:rPr>
              <w:t>Accomplishments</w:t>
            </w:r>
          </w:p>
        </w:tc>
        <w:tc>
          <w:tcPr>
            <w:tcW w:w="832" w:type="pct"/>
            <w:shd w:val="clear" w:color="auto" w:fill="FFFFDD"/>
          </w:tcPr>
          <w:p w:rsidR="006621A2" w:rsidRPr="00245DFD" w:rsidRDefault="002666EA" w:rsidP="0022700D">
            <w:pPr>
              <w:jc w:val="center"/>
              <w:rPr>
                <w:rFonts w:ascii="Garamond" w:hAnsi="Garamond"/>
                <w:b/>
                <w:sz w:val="22"/>
                <w:szCs w:val="22"/>
              </w:rPr>
            </w:pPr>
            <w:r w:rsidRPr="00245DFD">
              <w:rPr>
                <w:rFonts w:ascii="Garamond" w:hAnsi="Garamond"/>
                <w:b/>
                <w:sz w:val="22"/>
                <w:szCs w:val="22"/>
              </w:rPr>
              <w:t>FY 201</w:t>
            </w:r>
            <w:r w:rsidR="0022700D">
              <w:rPr>
                <w:rFonts w:ascii="Garamond" w:hAnsi="Garamond"/>
                <w:b/>
                <w:sz w:val="22"/>
                <w:szCs w:val="22"/>
              </w:rPr>
              <w:t>5</w:t>
            </w:r>
            <w:r w:rsidR="005F0EB3" w:rsidRPr="00245DFD">
              <w:rPr>
                <w:rFonts w:ascii="Garamond" w:hAnsi="Garamond"/>
                <w:b/>
                <w:sz w:val="22"/>
                <w:szCs w:val="22"/>
              </w:rPr>
              <w:t xml:space="preserve"> Annual Progress Data</w:t>
            </w:r>
          </w:p>
        </w:tc>
      </w:tr>
      <w:tr w:rsidR="006621A2" w:rsidRPr="00245DFD" w:rsidTr="00101AF5">
        <w:tc>
          <w:tcPr>
            <w:tcW w:w="1680" w:type="pct"/>
          </w:tcPr>
          <w:p w:rsidR="006621A2" w:rsidRPr="00245DFD" w:rsidRDefault="006621A2" w:rsidP="00FD137B">
            <w:pPr>
              <w:rPr>
                <w:rFonts w:ascii="Garamond" w:hAnsi="Garamond" w:cs="Arial"/>
                <w:sz w:val="22"/>
                <w:szCs w:val="22"/>
              </w:rPr>
            </w:pPr>
            <w:r w:rsidRPr="00245DFD">
              <w:rPr>
                <w:rFonts w:ascii="Garamond" w:hAnsi="Garamond"/>
                <w:b/>
                <w:sz w:val="22"/>
                <w:szCs w:val="22"/>
              </w:rPr>
              <w:t xml:space="preserve">Obj. 3.1 </w:t>
            </w:r>
            <w:r w:rsidRPr="00245DFD">
              <w:rPr>
                <w:rFonts w:ascii="Garamond" w:hAnsi="Garamond" w:cs="Arial"/>
                <w:sz w:val="22"/>
                <w:szCs w:val="22"/>
              </w:rPr>
              <w:t xml:space="preserve">Provide technical assistance and service to at least 20 committees, boards, and councils annually that maintain objectives relevant to pre-service and in-service education, early intervention, inclusive and post-secondary education, assistive technology and universal design, direct support, self-advocacy, disability studies and policy, employment, and health and well-being. </w:t>
            </w:r>
          </w:p>
          <w:p w:rsidR="006621A2" w:rsidRPr="00245DFD" w:rsidRDefault="006621A2" w:rsidP="00FD137B">
            <w:pPr>
              <w:rPr>
                <w:rFonts w:ascii="Garamond" w:hAnsi="Garamond"/>
                <w:b/>
                <w:sz w:val="22"/>
                <w:szCs w:val="22"/>
              </w:rPr>
            </w:pPr>
          </w:p>
        </w:tc>
        <w:tc>
          <w:tcPr>
            <w:tcW w:w="2488" w:type="pct"/>
          </w:tcPr>
          <w:p w:rsidR="00EB3D4E" w:rsidRDefault="00EB3D4E" w:rsidP="00334C98">
            <w:pPr>
              <w:ind w:left="-17"/>
              <w:rPr>
                <w:rFonts w:ascii="Garamond" w:hAnsi="Garamond"/>
                <w:sz w:val="22"/>
                <w:szCs w:val="22"/>
              </w:rPr>
            </w:pPr>
            <w:r>
              <w:rPr>
                <w:rFonts w:ascii="Garamond" w:hAnsi="Garamond"/>
                <w:sz w:val="22"/>
                <w:szCs w:val="22"/>
              </w:rPr>
              <w:t>Much of the work we do at the CDHD to benefit the lives of people with disabilities and their families is in partnership</w:t>
            </w:r>
            <w:r w:rsidR="00813ABD">
              <w:rPr>
                <w:rFonts w:ascii="Garamond" w:hAnsi="Garamond"/>
                <w:sz w:val="22"/>
                <w:szCs w:val="22"/>
              </w:rPr>
              <w:t xml:space="preserve"> with national, state, local, and university entities.</w:t>
            </w:r>
            <w:r w:rsidR="00412F08">
              <w:rPr>
                <w:rFonts w:ascii="Garamond" w:hAnsi="Garamond"/>
                <w:sz w:val="22"/>
                <w:szCs w:val="22"/>
              </w:rPr>
              <w:t xml:space="preserve"> Through boards, councils, and task force g</w:t>
            </w:r>
            <w:r>
              <w:rPr>
                <w:rFonts w:ascii="Garamond" w:hAnsi="Garamond"/>
                <w:sz w:val="22"/>
                <w:szCs w:val="22"/>
              </w:rPr>
              <w:t>roups, CDHD faculty and staff provide expert technical assistance and/or cooperative learning and systems enhancements.</w:t>
            </w:r>
            <w:r w:rsidR="00813ABD">
              <w:rPr>
                <w:rFonts w:ascii="Garamond" w:hAnsi="Garamond"/>
                <w:sz w:val="22"/>
                <w:szCs w:val="22"/>
              </w:rPr>
              <w:t xml:space="preserve"> In total for FY 15, these activities included </w:t>
            </w:r>
            <w:r w:rsidR="00813ABD" w:rsidRPr="00813ABD">
              <w:rPr>
                <w:rFonts w:ascii="Garamond" w:hAnsi="Garamond"/>
                <w:b/>
                <w:sz w:val="22"/>
                <w:szCs w:val="22"/>
              </w:rPr>
              <w:t>748 people</w:t>
            </w:r>
            <w:r w:rsidR="00813ABD">
              <w:rPr>
                <w:rFonts w:ascii="Garamond" w:hAnsi="Garamond"/>
                <w:sz w:val="22"/>
                <w:szCs w:val="22"/>
              </w:rPr>
              <w:t>.</w:t>
            </w:r>
          </w:p>
          <w:p w:rsidR="00412F08" w:rsidRDefault="00412F08" w:rsidP="00334C98">
            <w:pPr>
              <w:ind w:left="-17"/>
              <w:rPr>
                <w:rFonts w:ascii="Garamond" w:hAnsi="Garamond"/>
                <w:sz w:val="22"/>
                <w:szCs w:val="22"/>
              </w:rPr>
            </w:pPr>
          </w:p>
          <w:p w:rsidR="00086D60" w:rsidRDefault="00334C98" w:rsidP="00334C98">
            <w:pPr>
              <w:ind w:left="-17"/>
              <w:rPr>
                <w:rFonts w:ascii="Garamond" w:hAnsi="Garamond"/>
                <w:sz w:val="22"/>
                <w:szCs w:val="22"/>
              </w:rPr>
            </w:pPr>
            <w:r>
              <w:rPr>
                <w:rFonts w:ascii="Garamond" w:hAnsi="Garamond"/>
                <w:sz w:val="22"/>
                <w:szCs w:val="22"/>
              </w:rPr>
              <w:t xml:space="preserve">Faculty and staff at the CDHD sit on </w:t>
            </w:r>
            <w:r w:rsidR="00EB3D4E">
              <w:rPr>
                <w:rFonts w:ascii="Garamond" w:hAnsi="Garamond"/>
                <w:b/>
                <w:sz w:val="22"/>
                <w:szCs w:val="22"/>
              </w:rPr>
              <w:t>10</w:t>
            </w:r>
            <w:r w:rsidRPr="00EB3D4E">
              <w:rPr>
                <w:rFonts w:ascii="Garamond" w:hAnsi="Garamond"/>
                <w:b/>
                <w:sz w:val="22"/>
                <w:szCs w:val="22"/>
              </w:rPr>
              <w:t xml:space="preserve"> national boards</w:t>
            </w:r>
            <w:r>
              <w:rPr>
                <w:rFonts w:ascii="Garamond" w:hAnsi="Garamond"/>
                <w:sz w:val="22"/>
                <w:szCs w:val="22"/>
              </w:rPr>
              <w:t xml:space="preserve"> or councils. The list is as follows: </w:t>
            </w:r>
          </w:p>
          <w:p w:rsidR="00334C98" w:rsidRDefault="00334C98" w:rsidP="00412F08">
            <w:pPr>
              <w:pStyle w:val="ListParagraph"/>
              <w:numPr>
                <w:ilvl w:val="0"/>
                <w:numId w:val="18"/>
              </w:numPr>
              <w:rPr>
                <w:rFonts w:ascii="Garamond" w:hAnsi="Garamond"/>
                <w:sz w:val="22"/>
                <w:szCs w:val="22"/>
              </w:rPr>
            </w:pPr>
            <w:r w:rsidRPr="00334C98">
              <w:rPr>
                <w:rFonts w:ascii="Garamond" w:hAnsi="Garamond"/>
                <w:sz w:val="22"/>
                <w:szCs w:val="22"/>
              </w:rPr>
              <w:t>Association of University Centers on Disabilities (AUCD) Board of Directors</w:t>
            </w:r>
          </w:p>
          <w:p w:rsidR="00334C98" w:rsidRDefault="00412F08" w:rsidP="00412F08">
            <w:pPr>
              <w:pStyle w:val="ListParagraph"/>
              <w:numPr>
                <w:ilvl w:val="0"/>
                <w:numId w:val="18"/>
              </w:numPr>
              <w:rPr>
                <w:rFonts w:ascii="Garamond" w:hAnsi="Garamond"/>
                <w:sz w:val="22"/>
                <w:szCs w:val="22"/>
              </w:rPr>
            </w:pPr>
            <w:r>
              <w:rPr>
                <w:rFonts w:ascii="Garamond" w:hAnsi="Garamond"/>
                <w:sz w:val="22"/>
                <w:szCs w:val="22"/>
              </w:rPr>
              <w:t xml:space="preserve">AUCD </w:t>
            </w:r>
            <w:r w:rsidR="00334C98">
              <w:rPr>
                <w:rFonts w:ascii="Garamond" w:hAnsi="Garamond"/>
                <w:sz w:val="22"/>
                <w:szCs w:val="22"/>
              </w:rPr>
              <w:t>Council on Community Advocacy (COCA)</w:t>
            </w:r>
          </w:p>
          <w:p w:rsidR="00334C98" w:rsidRDefault="00412F08" w:rsidP="00412F08">
            <w:pPr>
              <w:pStyle w:val="ListParagraph"/>
              <w:numPr>
                <w:ilvl w:val="0"/>
                <w:numId w:val="18"/>
              </w:numPr>
              <w:rPr>
                <w:rFonts w:ascii="Garamond" w:hAnsi="Garamond"/>
                <w:sz w:val="22"/>
                <w:szCs w:val="22"/>
              </w:rPr>
            </w:pPr>
            <w:r>
              <w:rPr>
                <w:rFonts w:ascii="Garamond" w:hAnsi="Garamond"/>
                <w:sz w:val="22"/>
                <w:szCs w:val="22"/>
              </w:rPr>
              <w:t xml:space="preserve">AUCD </w:t>
            </w:r>
            <w:r w:rsidR="00334C98">
              <w:rPr>
                <w:rFonts w:ascii="Garamond" w:hAnsi="Garamond"/>
                <w:sz w:val="22"/>
                <w:szCs w:val="22"/>
              </w:rPr>
              <w:t>National Training Directors Council</w:t>
            </w:r>
          </w:p>
          <w:p w:rsidR="00334C98" w:rsidRDefault="00412F08" w:rsidP="00412F08">
            <w:pPr>
              <w:pStyle w:val="ListParagraph"/>
              <w:numPr>
                <w:ilvl w:val="0"/>
                <w:numId w:val="18"/>
              </w:numPr>
              <w:rPr>
                <w:rFonts w:ascii="Garamond" w:hAnsi="Garamond"/>
                <w:sz w:val="22"/>
                <w:szCs w:val="22"/>
              </w:rPr>
            </w:pPr>
            <w:r>
              <w:rPr>
                <w:rFonts w:ascii="Garamond" w:hAnsi="Garamond"/>
                <w:sz w:val="22"/>
                <w:szCs w:val="22"/>
              </w:rPr>
              <w:t xml:space="preserve">AUCD </w:t>
            </w:r>
            <w:r w:rsidR="00334C98">
              <w:rPr>
                <w:rFonts w:ascii="Garamond" w:hAnsi="Garamond"/>
                <w:sz w:val="22"/>
                <w:szCs w:val="22"/>
              </w:rPr>
              <w:t>Multicultural Council</w:t>
            </w:r>
          </w:p>
          <w:p w:rsidR="00412F08" w:rsidRDefault="00412F08" w:rsidP="00412F08">
            <w:pPr>
              <w:pStyle w:val="ListParagraph"/>
              <w:numPr>
                <w:ilvl w:val="0"/>
                <w:numId w:val="18"/>
              </w:numPr>
              <w:rPr>
                <w:rFonts w:ascii="Garamond" w:hAnsi="Garamond"/>
                <w:sz w:val="22"/>
                <w:szCs w:val="22"/>
              </w:rPr>
            </w:pPr>
            <w:r>
              <w:rPr>
                <w:rFonts w:ascii="Garamond" w:hAnsi="Garamond"/>
                <w:sz w:val="22"/>
                <w:szCs w:val="22"/>
              </w:rPr>
              <w:t xml:space="preserve">AUCD </w:t>
            </w:r>
            <w:r w:rsidR="00334C98">
              <w:rPr>
                <w:rFonts w:ascii="Garamond" w:hAnsi="Garamond"/>
                <w:sz w:val="22"/>
                <w:szCs w:val="22"/>
              </w:rPr>
              <w:t>Community Education and Dissemination Council</w:t>
            </w:r>
          </w:p>
          <w:p w:rsidR="00EB3D4E" w:rsidRPr="00412F08" w:rsidRDefault="00334C98" w:rsidP="00412F08">
            <w:pPr>
              <w:pStyle w:val="ListParagraph"/>
              <w:numPr>
                <w:ilvl w:val="0"/>
                <w:numId w:val="18"/>
              </w:numPr>
              <w:rPr>
                <w:rFonts w:ascii="Garamond" w:hAnsi="Garamond"/>
                <w:sz w:val="22"/>
                <w:szCs w:val="22"/>
              </w:rPr>
            </w:pPr>
            <w:r w:rsidRPr="00412F08">
              <w:rPr>
                <w:rFonts w:ascii="Garamond" w:hAnsi="Garamond"/>
                <w:sz w:val="22"/>
                <w:szCs w:val="22"/>
              </w:rPr>
              <w:t>ATAP National Board</w:t>
            </w:r>
          </w:p>
          <w:p w:rsidR="00334C98" w:rsidRPr="00EB3D4E" w:rsidRDefault="00334C98" w:rsidP="00412F08">
            <w:pPr>
              <w:pStyle w:val="ListParagraph"/>
              <w:numPr>
                <w:ilvl w:val="0"/>
                <w:numId w:val="18"/>
              </w:numPr>
              <w:rPr>
                <w:rFonts w:ascii="Garamond" w:hAnsi="Garamond"/>
                <w:sz w:val="22"/>
                <w:szCs w:val="22"/>
              </w:rPr>
            </w:pPr>
            <w:r w:rsidRPr="00EB3D4E">
              <w:rPr>
                <w:rFonts w:ascii="Garamond" w:hAnsi="Garamond"/>
                <w:sz w:val="22"/>
                <w:szCs w:val="22"/>
              </w:rPr>
              <w:t>Review of Disability Studies Editorial Board</w:t>
            </w:r>
          </w:p>
          <w:p w:rsidR="00334C98" w:rsidRDefault="00EB3D4E" w:rsidP="00412F08">
            <w:pPr>
              <w:pStyle w:val="ListParagraph"/>
              <w:numPr>
                <w:ilvl w:val="0"/>
                <w:numId w:val="18"/>
              </w:numPr>
              <w:rPr>
                <w:rFonts w:ascii="Garamond" w:hAnsi="Garamond"/>
                <w:sz w:val="22"/>
                <w:szCs w:val="22"/>
              </w:rPr>
            </w:pPr>
            <w:r>
              <w:rPr>
                <w:rFonts w:ascii="Garamond" w:hAnsi="Garamond"/>
                <w:sz w:val="22"/>
                <w:szCs w:val="22"/>
              </w:rPr>
              <w:t>National Workforce Registry Alliance Board</w:t>
            </w:r>
          </w:p>
          <w:p w:rsidR="00EB3D4E" w:rsidRDefault="00EB3D4E" w:rsidP="00412F08">
            <w:pPr>
              <w:pStyle w:val="ListParagraph"/>
              <w:numPr>
                <w:ilvl w:val="0"/>
                <w:numId w:val="18"/>
              </w:numPr>
              <w:rPr>
                <w:rFonts w:ascii="Garamond" w:hAnsi="Garamond"/>
                <w:sz w:val="22"/>
                <w:szCs w:val="22"/>
              </w:rPr>
            </w:pPr>
            <w:r>
              <w:rPr>
                <w:rFonts w:ascii="Garamond" w:hAnsi="Garamond"/>
                <w:sz w:val="22"/>
                <w:szCs w:val="22"/>
              </w:rPr>
              <w:t>Region Seven Western States Research Collaborative</w:t>
            </w:r>
          </w:p>
          <w:p w:rsidR="00EB3D4E" w:rsidRDefault="00EB3D4E" w:rsidP="00412F08">
            <w:pPr>
              <w:pStyle w:val="ListParagraph"/>
              <w:numPr>
                <w:ilvl w:val="0"/>
                <w:numId w:val="18"/>
              </w:numPr>
              <w:rPr>
                <w:rFonts w:ascii="Garamond" w:hAnsi="Garamond"/>
                <w:sz w:val="22"/>
                <w:szCs w:val="22"/>
              </w:rPr>
            </w:pPr>
            <w:r>
              <w:rPr>
                <w:rFonts w:ascii="Garamond" w:hAnsi="Garamond"/>
                <w:sz w:val="22"/>
                <w:szCs w:val="22"/>
              </w:rPr>
              <w:t>DEC Inclusion Special Interest Group</w:t>
            </w:r>
          </w:p>
          <w:p w:rsidR="00EB3D4E" w:rsidRDefault="00EB3D4E" w:rsidP="00EB3D4E">
            <w:pPr>
              <w:rPr>
                <w:rFonts w:ascii="Garamond" w:hAnsi="Garamond"/>
                <w:sz w:val="22"/>
                <w:szCs w:val="22"/>
              </w:rPr>
            </w:pPr>
          </w:p>
          <w:p w:rsidR="00EB3D4E" w:rsidRDefault="00EB3D4E" w:rsidP="00EB3D4E">
            <w:pPr>
              <w:rPr>
                <w:rFonts w:ascii="Garamond" w:hAnsi="Garamond"/>
                <w:sz w:val="22"/>
                <w:szCs w:val="22"/>
              </w:rPr>
            </w:pPr>
            <w:r>
              <w:rPr>
                <w:rFonts w:ascii="Garamond" w:hAnsi="Garamond"/>
                <w:sz w:val="22"/>
                <w:szCs w:val="22"/>
              </w:rPr>
              <w:t xml:space="preserve">CDHD staff and faculty either lead or sit on </w:t>
            </w:r>
            <w:r w:rsidRPr="00EB3D4E">
              <w:rPr>
                <w:rFonts w:ascii="Garamond" w:hAnsi="Garamond"/>
                <w:b/>
                <w:sz w:val="22"/>
                <w:szCs w:val="22"/>
              </w:rPr>
              <w:t>17 state task</w:t>
            </w:r>
            <w:r>
              <w:rPr>
                <w:rFonts w:ascii="Garamond" w:hAnsi="Garamond"/>
                <w:sz w:val="22"/>
                <w:szCs w:val="22"/>
              </w:rPr>
              <w:t xml:space="preserve"> force groups, boards, or councils. An example list </w:t>
            </w:r>
            <w:r w:rsidR="009F63AA">
              <w:rPr>
                <w:rFonts w:ascii="Garamond" w:hAnsi="Garamond"/>
                <w:sz w:val="22"/>
                <w:szCs w:val="22"/>
              </w:rPr>
              <w:t>(7</w:t>
            </w:r>
            <w:r w:rsidR="00744530">
              <w:rPr>
                <w:rFonts w:ascii="Garamond" w:hAnsi="Garamond"/>
                <w:sz w:val="22"/>
                <w:szCs w:val="22"/>
              </w:rPr>
              <w:t xml:space="preserve"> out of 17)</w:t>
            </w:r>
            <w:r>
              <w:rPr>
                <w:rFonts w:ascii="Garamond" w:hAnsi="Garamond"/>
                <w:sz w:val="22"/>
                <w:szCs w:val="22"/>
              </w:rPr>
              <w:t xml:space="preserve"> follows:</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Idaho Council on Developmental Disabilities</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Consortium of Idahoans with Disabilities</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Early Childhood Coordinating Council</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Idaho Interagency Council on Secondary Transition</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Idaho State Independent Living Council</w:t>
            </w:r>
          </w:p>
          <w:p w:rsidR="00744530"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 xml:space="preserve">Idaho State Department of Education Special </w:t>
            </w:r>
          </w:p>
          <w:p w:rsidR="00EB3D4E" w:rsidRPr="009F63AA" w:rsidRDefault="00EB3D4E" w:rsidP="009F63AA">
            <w:pPr>
              <w:pStyle w:val="ListParagraph"/>
              <w:numPr>
                <w:ilvl w:val="0"/>
                <w:numId w:val="21"/>
              </w:numPr>
              <w:rPr>
                <w:rFonts w:ascii="Garamond" w:hAnsi="Garamond"/>
                <w:sz w:val="22"/>
                <w:szCs w:val="22"/>
              </w:rPr>
            </w:pPr>
            <w:r w:rsidRPr="009F63AA">
              <w:rPr>
                <w:rFonts w:ascii="Garamond" w:hAnsi="Garamond"/>
                <w:sz w:val="22"/>
                <w:szCs w:val="22"/>
              </w:rPr>
              <w:t>Education Advisory Committee</w:t>
            </w:r>
          </w:p>
          <w:p w:rsidR="009F63AA" w:rsidRDefault="009F63AA" w:rsidP="00744530">
            <w:pPr>
              <w:ind w:left="-107"/>
              <w:rPr>
                <w:rFonts w:ascii="Garamond" w:hAnsi="Garamond"/>
                <w:sz w:val="22"/>
                <w:szCs w:val="22"/>
              </w:rPr>
            </w:pPr>
          </w:p>
          <w:p w:rsidR="00744530" w:rsidRDefault="00744530" w:rsidP="00C12948">
            <w:pPr>
              <w:ind w:left="36"/>
              <w:rPr>
                <w:rFonts w:ascii="Garamond" w:hAnsi="Garamond"/>
                <w:sz w:val="22"/>
                <w:szCs w:val="22"/>
              </w:rPr>
            </w:pPr>
            <w:r>
              <w:rPr>
                <w:rFonts w:ascii="Garamond" w:hAnsi="Garamond"/>
                <w:sz w:val="22"/>
                <w:szCs w:val="22"/>
              </w:rPr>
              <w:t>CDHD staff and faculty also participate on numerous university level committee, boards, and task force groups, an example list follows:</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College of Education Staff Advisory Board</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University of Idaho Institutional Review Board</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University of Idaho Admissions Committee</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College of Education Leadership Committee</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Graduate Research Program Committee</w:t>
            </w:r>
          </w:p>
          <w:p w:rsidR="00744530" w:rsidRDefault="00744530" w:rsidP="00C12948">
            <w:pPr>
              <w:pStyle w:val="ListParagraph"/>
              <w:numPr>
                <w:ilvl w:val="0"/>
                <w:numId w:val="22"/>
              </w:numPr>
              <w:rPr>
                <w:rFonts w:ascii="Garamond" w:hAnsi="Garamond"/>
                <w:sz w:val="22"/>
                <w:szCs w:val="22"/>
              </w:rPr>
            </w:pPr>
            <w:r>
              <w:rPr>
                <w:rFonts w:ascii="Garamond" w:hAnsi="Garamond"/>
                <w:sz w:val="22"/>
                <w:szCs w:val="22"/>
              </w:rPr>
              <w:t>Advisory Board for College of Education DECEO Center for Innovation and Learning</w:t>
            </w:r>
          </w:p>
          <w:p w:rsidR="008F78D3" w:rsidRDefault="008F78D3" w:rsidP="008F78D3">
            <w:pPr>
              <w:pStyle w:val="ListParagraph"/>
              <w:ind w:left="253"/>
              <w:rPr>
                <w:rFonts w:ascii="Garamond" w:hAnsi="Garamond"/>
                <w:sz w:val="22"/>
                <w:szCs w:val="22"/>
              </w:rPr>
            </w:pPr>
          </w:p>
          <w:p w:rsidR="00744530" w:rsidRDefault="00744530" w:rsidP="00C12948">
            <w:pPr>
              <w:pStyle w:val="BodyTextIndent"/>
              <w:ind w:left="36"/>
            </w:pPr>
            <w:r>
              <w:t>CDHD staff are involved both locally and in statewide committees that are hosted by the CDHD</w:t>
            </w:r>
            <w:r w:rsidR="00813ABD">
              <w:t xml:space="preserve"> projects</w:t>
            </w:r>
            <w:r>
              <w:t>. The list follows:</w:t>
            </w:r>
          </w:p>
          <w:p w:rsidR="00744530" w:rsidRPr="00C12948" w:rsidRDefault="00813ABD" w:rsidP="00C12948">
            <w:pPr>
              <w:pStyle w:val="ListParagraph"/>
              <w:numPr>
                <w:ilvl w:val="0"/>
                <w:numId w:val="23"/>
              </w:numPr>
              <w:rPr>
                <w:rFonts w:ascii="Garamond" w:hAnsi="Garamond"/>
                <w:sz w:val="22"/>
                <w:szCs w:val="22"/>
              </w:rPr>
            </w:pPr>
            <w:r w:rsidRPr="00C12948">
              <w:rPr>
                <w:rFonts w:ascii="Garamond" w:hAnsi="Garamond"/>
                <w:sz w:val="22"/>
                <w:szCs w:val="22"/>
              </w:rPr>
              <w:t>CDHD Community Advisory Committee</w:t>
            </w:r>
          </w:p>
          <w:p w:rsidR="00813ABD" w:rsidRPr="00C12948" w:rsidRDefault="00813ABD" w:rsidP="00C12948">
            <w:pPr>
              <w:pStyle w:val="ListParagraph"/>
              <w:numPr>
                <w:ilvl w:val="0"/>
                <w:numId w:val="23"/>
              </w:numPr>
              <w:rPr>
                <w:rFonts w:ascii="Garamond" w:hAnsi="Garamond"/>
                <w:sz w:val="22"/>
                <w:szCs w:val="22"/>
              </w:rPr>
            </w:pPr>
            <w:r w:rsidRPr="00C12948">
              <w:rPr>
                <w:rFonts w:ascii="Garamond" w:hAnsi="Garamond"/>
                <w:sz w:val="22"/>
                <w:szCs w:val="22"/>
              </w:rPr>
              <w:t>artAbility Committee</w:t>
            </w:r>
          </w:p>
          <w:p w:rsidR="00813ABD" w:rsidRPr="00C12948" w:rsidRDefault="00813ABD" w:rsidP="00C12948">
            <w:pPr>
              <w:pStyle w:val="ListParagraph"/>
              <w:numPr>
                <w:ilvl w:val="0"/>
                <w:numId w:val="23"/>
              </w:numPr>
              <w:rPr>
                <w:rFonts w:ascii="Garamond" w:hAnsi="Garamond"/>
                <w:sz w:val="22"/>
                <w:szCs w:val="22"/>
              </w:rPr>
            </w:pPr>
            <w:r w:rsidRPr="00C12948">
              <w:rPr>
                <w:rFonts w:ascii="Garamond" w:hAnsi="Garamond"/>
                <w:sz w:val="22"/>
                <w:szCs w:val="22"/>
              </w:rPr>
              <w:t>IATP Advisory Council</w:t>
            </w:r>
          </w:p>
          <w:p w:rsidR="00813ABD" w:rsidRPr="00C12948" w:rsidRDefault="00813ABD" w:rsidP="00C12948">
            <w:pPr>
              <w:pStyle w:val="ListParagraph"/>
              <w:numPr>
                <w:ilvl w:val="0"/>
                <w:numId w:val="23"/>
              </w:numPr>
              <w:rPr>
                <w:rFonts w:ascii="Garamond" w:hAnsi="Garamond"/>
                <w:sz w:val="22"/>
                <w:szCs w:val="22"/>
              </w:rPr>
            </w:pPr>
            <w:proofErr w:type="spellStart"/>
            <w:r w:rsidRPr="00C12948">
              <w:rPr>
                <w:rFonts w:ascii="Garamond" w:hAnsi="Garamond"/>
                <w:sz w:val="22"/>
                <w:szCs w:val="22"/>
              </w:rPr>
              <w:t>IdahoSTARS</w:t>
            </w:r>
            <w:proofErr w:type="spellEnd"/>
            <w:r w:rsidRPr="00C12948">
              <w:rPr>
                <w:rFonts w:ascii="Garamond" w:hAnsi="Garamond"/>
                <w:sz w:val="22"/>
                <w:szCs w:val="22"/>
              </w:rPr>
              <w:t xml:space="preserve"> CCHC planning committee</w:t>
            </w:r>
          </w:p>
          <w:p w:rsidR="00334C98" w:rsidRPr="00C12948" w:rsidRDefault="00813ABD" w:rsidP="00C12948">
            <w:pPr>
              <w:pStyle w:val="ListParagraph"/>
              <w:numPr>
                <w:ilvl w:val="0"/>
                <w:numId w:val="23"/>
              </w:numPr>
              <w:rPr>
                <w:rFonts w:ascii="Garamond" w:hAnsi="Garamond"/>
                <w:sz w:val="22"/>
                <w:szCs w:val="22"/>
              </w:rPr>
            </w:pPr>
            <w:r w:rsidRPr="00C12948">
              <w:rPr>
                <w:rFonts w:ascii="Garamond" w:hAnsi="Garamond"/>
                <w:sz w:val="22"/>
                <w:szCs w:val="22"/>
              </w:rPr>
              <w:t>Two year Institution Articulation Committee</w:t>
            </w:r>
          </w:p>
        </w:tc>
        <w:tc>
          <w:tcPr>
            <w:tcW w:w="832" w:type="pct"/>
          </w:tcPr>
          <w:p w:rsidR="00101AF5" w:rsidRPr="0039072E" w:rsidRDefault="00101AF5" w:rsidP="00101AF5">
            <w:pPr>
              <w:rPr>
                <w:rFonts w:ascii="Garamond" w:hAnsi="Garamond"/>
                <w:b/>
                <w:sz w:val="22"/>
                <w:szCs w:val="22"/>
              </w:rPr>
            </w:pPr>
            <w:r w:rsidRPr="0039072E">
              <w:rPr>
                <w:rFonts w:ascii="Garamond" w:hAnsi="Garamond"/>
                <w:b/>
                <w:sz w:val="22"/>
                <w:szCs w:val="22"/>
              </w:rPr>
              <w:sym w:font="Wingdings" w:char="F0FE"/>
            </w:r>
            <w:r w:rsidRPr="0039072E">
              <w:rPr>
                <w:rFonts w:ascii="Garamond" w:hAnsi="Garamond"/>
                <w:b/>
                <w:sz w:val="22"/>
                <w:szCs w:val="22"/>
              </w:rPr>
              <w:t xml:space="preserve"> Fully achieved</w:t>
            </w:r>
          </w:p>
          <w:p w:rsidR="00101AF5" w:rsidRDefault="00101AF5" w:rsidP="00101AF5">
            <w:pPr>
              <w:rPr>
                <w:rFonts w:ascii="Garamond" w:hAnsi="Garamond"/>
                <w:sz w:val="22"/>
                <w:szCs w:val="22"/>
              </w:rPr>
            </w:pPr>
          </w:p>
          <w:p w:rsidR="00101AF5" w:rsidRDefault="00101AF5" w:rsidP="00101AF5">
            <w:pPr>
              <w:rPr>
                <w:rFonts w:ascii="Garamond" w:hAnsi="Garamond"/>
                <w:b/>
                <w:sz w:val="22"/>
                <w:szCs w:val="22"/>
              </w:rPr>
            </w:pPr>
            <w:r w:rsidRPr="00A44D6D">
              <w:rPr>
                <w:rFonts w:ascii="Garamond" w:hAnsi="Garamond"/>
                <w:sz w:val="22"/>
                <w:szCs w:val="22"/>
              </w:rPr>
              <w:sym w:font="Wingdings" w:char="F06F"/>
            </w:r>
            <w:r w:rsidRPr="00A44D6D">
              <w:rPr>
                <w:rFonts w:ascii="Garamond" w:hAnsi="Garamond"/>
                <w:sz w:val="22"/>
                <w:szCs w:val="22"/>
              </w:rPr>
              <w:t xml:space="preserve"> </w:t>
            </w:r>
            <w:r w:rsidRPr="0039072E">
              <w:rPr>
                <w:rFonts w:ascii="Garamond" w:hAnsi="Garamond"/>
                <w:sz w:val="22"/>
                <w:szCs w:val="22"/>
              </w:rPr>
              <w:t>Partially achieved</w:t>
            </w:r>
          </w:p>
          <w:p w:rsidR="00101AF5" w:rsidRPr="0039072E" w:rsidRDefault="00101AF5" w:rsidP="00101AF5">
            <w:pPr>
              <w:rPr>
                <w:rFonts w:ascii="Garamond" w:hAnsi="Garamond"/>
                <w:b/>
                <w:sz w:val="22"/>
                <w:szCs w:val="22"/>
              </w:rPr>
            </w:pPr>
          </w:p>
          <w:p w:rsidR="00101AF5" w:rsidRPr="00A44D6D" w:rsidRDefault="00101AF5" w:rsidP="00101AF5">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097C53" w:rsidRPr="00245DFD" w:rsidRDefault="00097C53" w:rsidP="00097C53">
            <w:pPr>
              <w:rPr>
                <w:rFonts w:ascii="Garamond" w:hAnsi="Garamond"/>
                <w:sz w:val="22"/>
                <w:szCs w:val="22"/>
              </w:rPr>
            </w:pPr>
          </w:p>
        </w:tc>
      </w:tr>
      <w:tr w:rsidR="00EF5B91" w:rsidRPr="00245DFD" w:rsidTr="00101AF5">
        <w:tc>
          <w:tcPr>
            <w:tcW w:w="1680" w:type="pct"/>
          </w:tcPr>
          <w:p w:rsidR="00EF5B91" w:rsidRPr="00245DFD" w:rsidRDefault="00EF5B91" w:rsidP="00EF5B91">
            <w:pPr>
              <w:rPr>
                <w:rFonts w:ascii="Garamond" w:hAnsi="Garamond" w:cs="Arial"/>
                <w:sz w:val="22"/>
                <w:szCs w:val="22"/>
              </w:rPr>
            </w:pPr>
            <w:r w:rsidRPr="00245DFD">
              <w:rPr>
                <w:rFonts w:ascii="Garamond" w:hAnsi="Garamond"/>
                <w:b/>
                <w:sz w:val="22"/>
                <w:szCs w:val="22"/>
              </w:rPr>
              <w:t xml:space="preserve">Obj. 3.2 </w:t>
            </w:r>
            <w:r w:rsidRPr="00245DFD">
              <w:rPr>
                <w:rFonts w:ascii="Garamond" w:hAnsi="Garamond"/>
                <w:sz w:val="22"/>
                <w:szCs w:val="22"/>
              </w:rPr>
              <w:t xml:space="preserve">Provide technical assistance to 25,000 family members, providers, self-advocates, and other agency personnel through web-based interface, phone contact, team meetings, or personal communications that focus on </w:t>
            </w:r>
            <w:r w:rsidRPr="00245DFD">
              <w:rPr>
                <w:rFonts w:ascii="Garamond" w:hAnsi="Garamond" w:cs="Arial"/>
                <w:sz w:val="22"/>
                <w:szCs w:val="22"/>
              </w:rPr>
              <w:t xml:space="preserve">early intervention, inclusive and post-secondary education, assistive technology and universal design, direct support, self-advocacy, disability studies and policy, employment, and health and well-being. </w:t>
            </w:r>
          </w:p>
          <w:p w:rsidR="00EF5B91" w:rsidRPr="00245DFD" w:rsidRDefault="00EF5B91" w:rsidP="00EF5B91">
            <w:pPr>
              <w:rPr>
                <w:rFonts w:ascii="Garamond" w:hAnsi="Garamond"/>
                <w:sz w:val="22"/>
                <w:szCs w:val="22"/>
              </w:rPr>
            </w:pPr>
          </w:p>
        </w:tc>
        <w:tc>
          <w:tcPr>
            <w:tcW w:w="2488" w:type="pct"/>
          </w:tcPr>
          <w:p w:rsidR="00813ABD" w:rsidRDefault="00813ABD" w:rsidP="00813ABD">
            <w:pPr>
              <w:pStyle w:val="BodyText"/>
            </w:pPr>
            <w:r>
              <w:t>CD</w:t>
            </w:r>
            <w:r w:rsidR="0098251E">
              <w:t xml:space="preserve">HD faculty and staff provide on-going </w:t>
            </w:r>
            <w:r>
              <w:t>technical assistance to family members, providers, self-advocates, and other agency personnel or general public through a variety of project le</w:t>
            </w:r>
            <w:r w:rsidR="00475C75">
              <w:t>d</w:t>
            </w:r>
            <w:r>
              <w:t xml:space="preserve"> activities. Technical assistance activities are out</w:t>
            </w:r>
            <w:r w:rsidR="00475C75">
              <w:t>lined and summarized by project</w:t>
            </w:r>
            <w:r>
              <w:t>.</w:t>
            </w:r>
          </w:p>
          <w:p w:rsidR="009329E2" w:rsidRPr="0098251E" w:rsidRDefault="00813ABD" w:rsidP="0098251E">
            <w:pPr>
              <w:pStyle w:val="ListParagraph"/>
              <w:numPr>
                <w:ilvl w:val="0"/>
                <w:numId w:val="16"/>
              </w:numPr>
              <w:ind w:left="343"/>
              <w:rPr>
                <w:rFonts w:ascii="Garamond" w:hAnsi="Garamond"/>
                <w:sz w:val="22"/>
                <w:szCs w:val="22"/>
              </w:rPr>
            </w:pPr>
            <w:proofErr w:type="gramStart"/>
            <w:r w:rsidRPr="0098251E">
              <w:rPr>
                <w:rFonts w:ascii="Garamond" w:hAnsi="Garamond"/>
                <w:b/>
                <w:sz w:val="22"/>
                <w:szCs w:val="22"/>
              </w:rPr>
              <w:t>artAbility</w:t>
            </w:r>
            <w:proofErr w:type="gramEnd"/>
            <w:r w:rsidR="0098251E" w:rsidRPr="0098251E">
              <w:rPr>
                <w:rFonts w:ascii="Garamond" w:hAnsi="Garamond"/>
                <w:b/>
                <w:sz w:val="22"/>
                <w:szCs w:val="22"/>
              </w:rPr>
              <w:t>:</w:t>
            </w:r>
            <w:r w:rsidR="0098251E">
              <w:rPr>
                <w:rFonts w:ascii="Garamond" w:hAnsi="Garamond"/>
                <w:b/>
                <w:sz w:val="22"/>
                <w:szCs w:val="22"/>
              </w:rPr>
              <w:t xml:space="preserve"> </w:t>
            </w:r>
            <w:r w:rsidR="0098251E" w:rsidRPr="0098251E">
              <w:rPr>
                <w:rFonts w:ascii="Garamond" w:hAnsi="Garamond"/>
                <w:sz w:val="22"/>
                <w:szCs w:val="22"/>
              </w:rPr>
              <w:t xml:space="preserve">The CDHD hosted an open house to showcase </w:t>
            </w:r>
            <w:r w:rsidR="0098251E">
              <w:rPr>
                <w:rFonts w:ascii="Garamond" w:hAnsi="Garamond"/>
                <w:sz w:val="22"/>
                <w:szCs w:val="22"/>
              </w:rPr>
              <w:t xml:space="preserve">the art work of adults with disabilities </w:t>
            </w:r>
            <w:r w:rsidR="0098251E" w:rsidRPr="0098251E">
              <w:rPr>
                <w:rFonts w:ascii="Garamond" w:hAnsi="Garamond"/>
                <w:sz w:val="22"/>
                <w:szCs w:val="22"/>
              </w:rPr>
              <w:t xml:space="preserve">living in the local community. </w:t>
            </w:r>
            <w:r w:rsidR="0098251E">
              <w:rPr>
                <w:rFonts w:ascii="Garamond" w:hAnsi="Garamond"/>
                <w:sz w:val="22"/>
                <w:szCs w:val="22"/>
              </w:rPr>
              <w:t xml:space="preserve">The art was produced through a series of workshops conducted throughout FY 15. This project was funded and coordinated by a CDHD trainee with the support of other trainees, staff and faculty. </w:t>
            </w:r>
            <w:r w:rsidR="0098251E" w:rsidRPr="0098251E">
              <w:rPr>
                <w:rFonts w:ascii="Garamond" w:hAnsi="Garamond"/>
                <w:sz w:val="22"/>
                <w:szCs w:val="22"/>
              </w:rPr>
              <w:t xml:space="preserve">A total of </w:t>
            </w:r>
            <w:r w:rsidR="0098251E" w:rsidRPr="0098251E">
              <w:rPr>
                <w:rFonts w:ascii="Garamond" w:hAnsi="Garamond"/>
                <w:b/>
                <w:sz w:val="22"/>
                <w:szCs w:val="22"/>
              </w:rPr>
              <w:t>160 community members</w:t>
            </w:r>
            <w:r w:rsidR="0098251E" w:rsidRPr="0098251E">
              <w:rPr>
                <w:rFonts w:ascii="Garamond" w:hAnsi="Garamond"/>
                <w:sz w:val="22"/>
                <w:szCs w:val="22"/>
              </w:rPr>
              <w:t xml:space="preserve"> participated in this event and were exposed to the work and capabilities of local artists through </w:t>
            </w:r>
            <w:r w:rsidR="0098251E" w:rsidRPr="0098251E">
              <w:rPr>
                <w:rFonts w:ascii="Garamond" w:hAnsi="Garamond"/>
                <w:b/>
                <w:sz w:val="22"/>
                <w:szCs w:val="22"/>
              </w:rPr>
              <w:t xml:space="preserve">50 art </w:t>
            </w:r>
            <w:r w:rsidR="0098251E">
              <w:rPr>
                <w:rFonts w:ascii="Garamond" w:hAnsi="Garamond"/>
                <w:b/>
                <w:sz w:val="22"/>
                <w:szCs w:val="22"/>
              </w:rPr>
              <w:t>pieces.</w:t>
            </w:r>
            <w:r w:rsidR="0098251E" w:rsidRPr="0098251E">
              <w:rPr>
                <w:rFonts w:ascii="Garamond" w:hAnsi="Garamond"/>
                <w:b/>
                <w:sz w:val="22"/>
                <w:szCs w:val="22"/>
              </w:rPr>
              <w:t xml:space="preserve"> </w:t>
            </w:r>
          </w:p>
          <w:p w:rsidR="009473E3" w:rsidRPr="00D05620" w:rsidRDefault="0098251E" w:rsidP="00C429CC">
            <w:pPr>
              <w:pStyle w:val="ListParagraph"/>
              <w:numPr>
                <w:ilvl w:val="0"/>
                <w:numId w:val="16"/>
              </w:numPr>
              <w:ind w:left="343"/>
              <w:rPr>
                <w:rFonts w:ascii="Garamond" w:hAnsi="Garamond"/>
                <w:sz w:val="22"/>
                <w:szCs w:val="22"/>
              </w:rPr>
            </w:pPr>
            <w:r w:rsidRPr="00D05620">
              <w:rPr>
                <w:rFonts w:ascii="Garamond" w:hAnsi="Garamond"/>
                <w:b/>
                <w:sz w:val="22"/>
                <w:szCs w:val="22"/>
              </w:rPr>
              <w:t xml:space="preserve">ATTA: </w:t>
            </w:r>
            <w:r w:rsidRPr="00D05620">
              <w:rPr>
                <w:rFonts w:ascii="Garamond" w:hAnsi="Garamond"/>
                <w:sz w:val="22"/>
                <w:szCs w:val="22"/>
              </w:rPr>
              <w:t xml:space="preserve">The Assistive Technology Technical Assistance project assisted IEP school teams with </w:t>
            </w:r>
            <w:r w:rsidRPr="00D05620">
              <w:rPr>
                <w:rFonts w:ascii="Garamond" w:hAnsi="Garamond"/>
                <w:b/>
                <w:sz w:val="22"/>
                <w:szCs w:val="22"/>
              </w:rPr>
              <w:t>69 AT assessments</w:t>
            </w:r>
            <w:r w:rsidRPr="00D05620">
              <w:rPr>
                <w:rFonts w:ascii="Garamond" w:hAnsi="Garamond"/>
                <w:sz w:val="22"/>
                <w:szCs w:val="22"/>
              </w:rPr>
              <w:t xml:space="preserve"> impacting </w:t>
            </w:r>
            <w:r w:rsidRPr="00D05620">
              <w:rPr>
                <w:rFonts w:ascii="Garamond" w:hAnsi="Garamond"/>
                <w:b/>
                <w:sz w:val="22"/>
                <w:szCs w:val="22"/>
              </w:rPr>
              <w:t>345 people</w:t>
            </w:r>
            <w:r w:rsidRPr="00D05620">
              <w:rPr>
                <w:rFonts w:ascii="Garamond" w:hAnsi="Garamond"/>
                <w:sz w:val="22"/>
                <w:szCs w:val="22"/>
              </w:rPr>
              <w:t>.</w:t>
            </w:r>
            <w:r w:rsidR="009473E3" w:rsidRPr="00D05620">
              <w:rPr>
                <w:rFonts w:ascii="Garamond" w:hAnsi="Garamond"/>
                <w:sz w:val="22"/>
                <w:szCs w:val="22"/>
              </w:rPr>
              <w:t xml:space="preserve"> These assessments are team-based and meant to build the capacity of the school/parent members. During these assessment</w:t>
            </w:r>
            <w:r w:rsidR="00D05620" w:rsidRPr="00D05620">
              <w:rPr>
                <w:rFonts w:ascii="Garamond" w:hAnsi="Garamond"/>
                <w:sz w:val="22"/>
                <w:szCs w:val="22"/>
              </w:rPr>
              <w:t xml:space="preserve"> demonstrations</w:t>
            </w:r>
            <w:r w:rsidR="009473E3" w:rsidRPr="00D05620">
              <w:rPr>
                <w:rFonts w:ascii="Garamond" w:hAnsi="Garamond"/>
                <w:sz w:val="22"/>
                <w:szCs w:val="22"/>
              </w:rPr>
              <w:t xml:space="preserve"> over 300 devices were </w:t>
            </w:r>
            <w:r w:rsidR="00D05620">
              <w:rPr>
                <w:rFonts w:ascii="Garamond" w:hAnsi="Garamond"/>
                <w:sz w:val="22"/>
                <w:szCs w:val="22"/>
              </w:rPr>
              <w:t xml:space="preserve">showcased. </w:t>
            </w:r>
            <w:r w:rsidR="009473E3" w:rsidRPr="00D05620">
              <w:rPr>
                <w:rFonts w:ascii="Garamond" w:hAnsi="Garamond"/>
                <w:sz w:val="22"/>
                <w:szCs w:val="22"/>
              </w:rPr>
              <w:t xml:space="preserve">ATTA also provided financial and technical support during a week-long AAC Camp in June of 2015. Camp activities include educational and social aspects that help attendees learn about and better use/support communication devices. A total of </w:t>
            </w:r>
            <w:r w:rsidR="009473E3" w:rsidRPr="00D05620">
              <w:rPr>
                <w:rFonts w:ascii="Garamond" w:hAnsi="Garamond"/>
                <w:b/>
                <w:sz w:val="22"/>
                <w:szCs w:val="22"/>
              </w:rPr>
              <w:t>90 people</w:t>
            </w:r>
            <w:r w:rsidR="009473E3" w:rsidRPr="00D05620">
              <w:rPr>
                <w:rFonts w:ascii="Garamond" w:hAnsi="Garamond"/>
                <w:sz w:val="22"/>
                <w:szCs w:val="22"/>
              </w:rPr>
              <w:t xml:space="preserve"> were impacted. </w:t>
            </w:r>
            <w:r w:rsidRPr="00D05620">
              <w:rPr>
                <w:rFonts w:ascii="Garamond" w:hAnsi="Garamond"/>
                <w:sz w:val="22"/>
                <w:szCs w:val="22"/>
              </w:rPr>
              <w:t xml:space="preserve"> </w:t>
            </w:r>
          </w:p>
          <w:p w:rsidR="009473E3" w:rsidRPr="009871DE" w:rsidRDefault="009473E3" w:rsidP="009871DE">
            <w:pPr>
              <w:pStyle w:val="ListParagraph"/>
              <w:ind w:left="343"/>
              <w:rPr>
                <w:rFonts w:ascii="Garamond" w:hAnsi="Garamond"/>
                <w:sz w:val="22"/>
                <w:szCs w:val="22"/>
              </w:rPr>
            </w:pPr>
            <w:r>
              <w:rPr>
                <w:rFonts w:ascii="Garamond" w:hAnsi="Garamond"/>
                <w:sz w:val="22"/>
                <w:szCs w:val="22"/>
              </w:rPr>
              <w:t xml:space="preserve">Another </w:t>
            </w:r>
            <w:r w:rsidRPr="009473E3">
              <w:rPr>
                <w:rFonts w:ascii="Garamond" w:hAnsi="Garamond"/>
                <w:b/>
                <w:sz w:val="22"/>
                <w:szCs w:val="22"/>
              </w:rPr>
              <w:t>50 people</w:t>
            </w:r>
            <w:r>
              <w:rPr>
                <w:rFonts w:ascii="Garamond" w:hAnsi="Garamond"/>
                <w:sz w:val="22"/>
                <w:szCs w:val="22"/>
              </w:rPr>
              <w:t xml:space="preserve"> were impacted by ATTA technical assistance through demonstrations at conferences.</w:t>
            </w:r>
          </w:p>
          <w:p w:rsidR="00C411D5" w:rsidRDefault="00C411D5" w:rsidP="00C411D5">
            <w:pPr>
              <w:pStyle w:val="ListParagraph"/>
              <w:numPr>
                <w:ilvl w:val="0"/>
                <w:numId w:val="16"/>
              </w:numPr>
              <w:ind w:left="343"/>
              <w:rPr>
                <w:rFonts w:ascii="Garamond" w:hAnsi="Garamond"/>
                <w:sz w:val="22"/>
                <w:szCs w:val="22"/>
              </w:rPr>
            </w:pPr>
            <w:r>
              <w:rPr>
                <w:rFonts w:ascii="Garamond" w:hAnsi="Garamond"/>
                <w:b/>
                <w:sz w:val="22"/>
                <w:szCs w:val="22"/>
              </w:rPr>
              <w:t>Autism Supports:</w:t>
            </w:r>
            <w:r>
              <w:rPr>
                <w:rFonts w:ascii="Garamond" w:hAnsi="Garamond"/>
                <w:sz w:val="22"/>
                <w:szCs w:val="22"/>
              </w:rPr>
              <w:t xml:space="preserve"> This school-based technical assistance project brings evidence-based practices to school personnel and parents throughout the state of Idaho. In total, Autism Support consultants spend </w:t>
            </w:r>
            <w:r w:rsidRPr="00C411D5">
              <w:rPr>
                <w:rFonts w:ascii="Garamond" w:hAnsi="Garamond"/>
                <w:b/>
                <w:sz w:val="22"/>
                <w:szCs w:val="22"/>
              </w:rPr>
              <w:t>1,713 hours</w:t>
            </w:r>
            <w:r>
              <w:rPr>
                <w:rFonts w:ascii="Garamond" w:hAnsi="Garamond"/>
                <w:sz w:val="22"/>
                <w:szCs w:val="22"/>
              </w:rPr>
              <w:t xml:space="preserve"> conducting coaching services either face-to-face or via webinar with a total of </w:t>
            </w:r>
            <w:r w:rsidRPr="00C411D5">
              <w:rPr>
                <w:rFonts w:ascii="Garamond" w:hAnsi="Garamond"/>
                <w:b/>
                <w:sz w:val="22"/>
                <w:szCs w:val="22"/>
              </w:rPr>
              <w:t>179 parents</w:t>
            </w:r>
            <w:r>
              <w:rPr>
                <w:rFonts w:ascii="Garamond" w:hAnsi="Garamond"/>
                <w:sz w:val="22"/>
                <w:szCs w:val="22"/>
              </w:rPr>
              <w:t xml:space="preserve"> and </w:t>
            </w:r>
            <w:r w:rsidRPr="00C411D5">
              <w:rPr>
                <w:rFonts w:ascii="Garamond" w:hAnsi="Garamond"/>
                <w:b/>
                <w:sz w:val="22"/>
                <w:szCs w:val="22"/>
              </w:rPr>
              <w:t>1,662 professionals</w:t>
            </w:r>
            <w:r>
              <w:rPr>
                <w:rFonts w:ascii="Garamond" w:hAnsi="Garamond"/>
                <w:sz w:val="22"/>
                <w:szCs w:val="22"/>
              </w:rPr>
              <w:t xml:space="preserve">.  </w:t>
            </w:r>
            <w:r w:rsidR="009473E3" w:rsidRPr="00C411D5">
              <w:rPr>
                <w:rFonts w:ascii="Garamond" w:hAnsi="Garamond"/>
                <w:sz w:val="22"/>
                <w:szCs w:val="22"/>
              </w:rPr>
              <w:t xml:space="preserve"> </w:t>
            </w:r>
          </w:p>
          <w:p w:rsidR="0098251E" w:rsidRDefault="00C411D5" w:rsidP="00A3189D">
            <w:pPr>
              <w:pStyle w:val="ListParagraph"/>
              <w:numPr>
                <w:ilvl w:val="0"/>
                <w:numId w:val="16"/>
              </w:numPr>
              <w:ind w:left="343"/>
              <w:rPr>
                <w:rFonts w:ascii="Garamond" w:hAnsi="Garamond"/>
                <w:sz w:val="22"/>
                <w:szCs w:val="22"/>
              </w:rPr>
            </w:pPr>
            <w:r>
              <w:rPr>
                <w:rFonts w:ascii="Garamond" w:hAnsi="Garamond"/>
                <w:b/>
                <w:sz w:val="22"/>
                <w:szCs w:val="22"/>
              </w:rPr>
              <w:t xml:space="preserve">Core: </w:t>
            </w:r>
            <w:r>
              <w:rPr>
                <w:rFonts w:ascii="Garamond" w:hAnsi="Garamond"/>
                <w:sz w:val="22"/>
                <w:szCs w:val="22"/>
              </w:rPr>
              <w:t xml:space="preserve">Several technical assistance activities were supported through core funds. Staff </w:t>
            </w:r>
            <w:r w:rsidR="002E69C6">
              <w:rPr>
                <w:rFonts w:ascii="Garamond" w:hAnsi="Garamond"/>
                <w:sz w:val="22"/>
                <w:szCs w:val="22"/>
              </w:rPr>
              <w:t>provided</w:t>
            </w:r>
            <w:r>
              <w:rPr>
                <w:rFonts w:ascii="Garamond" w:hAnsi="Garamond"/>
                <w:sz w:val="22"/>
                <w:szCs w:val="22"/>
              </w:rPr>
              <w:t xml:space="preserve"> </w:t>
            </w:r>
            <w:r w:rsidR="002E69C6">
              <w:rPr>
                <w:rFonts w:ascii="Garamond" w:hAnsi="Garamond"/>
                <w:sz w:val="22"/>
                <w:szCs w:val="22"/>
              </w:rPr>
              <w:t xml:space="preserve">technical </w:t>
            </w:r>
            <w:r>
              <w:rPr>
                <w:rFonts w:ascii="Garamond" w:hAnsi="Garamond"/>
                <w:sz w:val="22"/>
                <w:szCs w:val="22"/>
              </w:rPr>
              <w:t xml:space="preserve">assistance </w:t>
            </w:r>
            <w:r w:rsidR="002E69C6">
              <w:rPr>
                <w:rFonts w:ascii="Garamond" w:hAnsi="Garamond"/>
                <w:sz w:val="22"/>
                <w:szCs w:val="22"/>
              </w:rPr>
              <w:t>with</w:t>
            </w:r>
            <w:r>
              <w:rPr>
                <w:rFonts w:ascii="Garamond" w:hAnsi="Garamond"/>
                <w:sz w:val="22"/>
                <w:szCs w:val="22"/>
              </w:rPr>
              <w:t xml:space="preserve"> </w:t>
            </w:r>
            <w:r w:rsidR="00A3189D">
              <w:rPr>
                <w:rFonts w:ascii="Garamond" w:hAnsi="Garamond"/>
                <w:sz w:val="22"/>
                <w:szCs w:val="22"/>
              </w:rPr>
              <w:t>CDHD Community Advisory Committee</w:t>
            </w:r>
            <w:r>
              <w:rPr>
                <w:rFonts w:ascii="Garamond" w:hAnsi="Garamond"/>
                <w:sz w:val="22"/>
                <w:szCs w:val="22"/>
              </w:rPr>
              <w:t xml:space="preserve"> </w:t>
            </w:r>
            <w:r w:rsidR="00A3189D">
              <w:rPr>
                <w:rFonts w:ascii="Garamond" w:hAnsi="Garamond"/>
                <w:sz w:val="22"/>
                <w:szCs w:val="22"/>
              </w:rPr>
              <w:t>(CAC)</w:t>
            </w:r>
            <w:r w:rsidR="002E69C6">
              <w:rPr>
                <w:rFonts w:ascii="Garamond" w:hAnsi="Garamond"/>
                <w:sz w:val="22"/>
                <w:szCs w:val="22"/>
              </w:rPr>
              <w:t xml:space="preserve"> </w:t>
            </w:r>
            <w:r w:rsidR="00894529">
              <w:rPr>
                <w:rFonts w:ascii="Garamond" w:hAnsi="Garamond"/>
                <w:sz w:val="22"/>
                <w:szCs w:val="22"/>
              </w:rPr>
              <w:t xml:space="preserve">members </w:t>
            </w:r>
            <w:r w:rsidR="002E69C6">
              <w:rPr>
                <w:rFonts w:ascii="Garamond" w:hAnsi="Garamond"/>
                <w:sz w:val="22"/>
                <w:szCs w:val="22"/>
              </w:rPr>
              <w:t xml:space="preserve">on the purpose of the DD network and associated activities; </w:t>
            </w:r>
            <w:r w:rsidR="00CF4203">
              <w:rPr>
                <w:rFonts w:ascii="Garamond" w:hAnsi="Garamond"/>
                <w:sz w:val="22"/>
                <w:szCs w:val="22"/>
              </w:rPr>
              <w:t>for</w:t>
            </w:r>
            <w:r w:rsidR="002E69C6">
              <w:rPr>
                <w:rFonts w:ascii="Garamond" w:hAnsi="Garamond"/>
                <w:sz w:val="22"/>
                <w:szCs w:val="22"/>
              </w:rPr>
              <w:t xml:space="preserve"> policy makers on Disability Advocacy Day at the Capitol in Boise, Idaho; </w:t>
            </w:r>
            <w:r w:rsidR="00CF4203">
              <w:rPr>
                <w:rFonts w:ascii="Garamond" w:hAnsi="Garamond"/>
                <w:sz w:val="22"/>
                <w:szCs w:val="22"/>
              </w:rPr>
              <w:t>for</w:t>
            </w:r>
            <w:r w:rsidR="002E69C6">
              <w:rPr>
                <w:rFonts w:ascii="Garamond" w:hAnsi="Garamond"/>
                <w:sz w:val="22"/>
                <w:szCs w:val="22"/>
              </w:rPr>
              <w:t xml:space="preserve"> students, self-advocates, high school students, and </w:t>
            </w:r>
            <w:r w:rsidR="00CF4203">
              <w:rPr>
                <w:rFonts w:ascii="Garamond" w:hAnsi="Garamond"/>
                <w:sz w:val="22"/>
                <w:szCs w:val="22"/>
              </w:rPr>
              <w:t xml:space="preserve">the </w:t>
            </w:r>
            <w:r w:rsidR="002E69C6">
              <w:rPr>
                <w:rFonts w:ascii="Garamond" w:hAnsi="Garamond"/>
                <w:sz w:val="22"/>
                <w:szCs w:val="22"/>
              </w:rPr>
              <w:t>general public through a Disability Advocacy Day workshop</w:t>
            </w:r>
            <w:r w:rsidR="00CF4203">
              <w:rPr>
                <w:rFonts w:ascii="Garamond" w:hAnsi="Garamond"/>
                <w:sz w:val="22"/>
                <w:szCs w:val="22"/>
              </w:rPr>
              <w:t>s</w:t>
            </w:r>
            <w:r w:rsidR="002E69C6">
              <w:rPr>
                <w:rFonts w:ascii="Garamond" w:hAnsi="Garamond"/>
                <w:sz w:val="22"/>
                <w:szCs w:val="22"/>
              </w:rPr>
              <w:t xml:space="preserve">, mentoring, and job shadowing. CDHD also provides on-going support to the State Advocacy Leadership Network </w:t>
            </w:r>
            <w:r w:rsidR="00CF4203">
              <w:rPr>
                <w:rFonts w:ascii="Garamond" w:hAnsi="Garamond"/>
                <w:sz w:val="22"/>
                <w:szCs w:val="22"/>
              </w:rPr>
              <w:t xml:space="preserve">(SALN) </w:t>
            </w:r>
            <w:r w:rsidR="002E69C6">
              <w:rPr>
                <w:rFonts w:ascii="Garamond" w:hAnsi="Garamond"/>
                <w:sz w:val="22"/>
                <w:szCs w:val="22"/>
              </w:rPr>
              <w:t xml:space="preserve">on preparing newsletters, conducting workshops, submitting grant proposals, and reviewing scholarship applications.  </w:t>
            </w:r>
            <w:r w:rsidR="00A3189D">
              <w:rPr>
                <w:rFonts w:ascii="Garamond" w:hAnsi="Garamond"/>
                <w:sz w:val="22"/>
                <w:szCs w:val="22"/>
              </w:rPr>
              <w:t>Finally, the core supported</w:t>
            </w:r>
            <w:r w:rsidR="002E69C6">
              <w:rPr>
                <w:rFonts w:ascii="Garamond" w:hAnsi="Garamond"/>
                <w:sz w:val="22"/>
                <w:szCs w:val="22"/>
              </w:rPr>
              <w:t xml:space="preserve"> </w:t>
            </w:r>
            <w:r w:rsidR="00A3189D">
              <w:rPr>
                <w:rFonts w:ascii="Garamond" w:hAnsi="Garamond"/>
                <w:sz w:val="22"/>
                <w:szCs w:val="22"/>
              </w:rPr>
              <w:t xml:space="preserve">faculty and students to participate </w:t>
            </w:r>
            <w:r w:rsidR="002E69C6">
              <w:rPr>
                <w:rFonts w:ascii="Garamond" w:hAnsi="Garamond"/>
                <w:sz w:val="22"/>
                <w:szCs w:val="22"/>
              </w:rPr>
              <w:t>in a two day retreat with Utah Regional Lend</w:t>
            </w:r>
            <w:r w:rsidR="00CF4203">
              <w:rPr>
                <w:rFonts w:ascii="Garamond" w:hAnsi="Garamond"/>
                <w:sz w:val="22"/>
                <w:szCs w:val="22"/>
              </w:rPr>
              <w:t xml:space="preserve"> Program. </w:t>
            </w:r>
            <w:r w:rsidR="002E69C6">
              <w:rPr>
                <w:rFonts w:ascii="Garamond" w:hAnsi="Garamond"/>
                <w:sz w:val="22"/>
                <w:szCs w:val="22"/>
              </w:rPr>
              <w:t xml:space="preserve">In total </w:t>
            </w:r>
            <w:r w:rsidR="00A3189D" w:rsidRPr="00A3189D">
              <w:rPr>
                <w:rFonts w:ascii="Garamond" w:hAnsi="Garamond"/>
                <w:b/>
                <w:sz w:val="22"/>
                <w:szCs w:val="22"/>
              </w:rPr>
              <w:t>177 people</w:t>
            </w:r>
            <w:r w:rsidR="00A3189D">
              <w:rPr>
                <w:rFonts w:ascii="Garamond" w:hAnsi="Garamond"/>
                <w:sz w:val="22"/>
                <w:szCs w:val="22"/>
              </w:rPr>
              <w:t xml:space="preserve"> were impacted through these activities. </w:t>
            </w:r>
          </w:p>
          <w:p w:rsidR="005A03A4" w:rsidRPr="005A03A4" w:rsidRDefault="00A3189D" w:rsidP="005A03A4">
            <w:pPr>
              <w:pStyle w:val="ListParagraph"/>
              <w:numPr>
                <w:ilvl w:val="0"/>
                <w:numId w:val="16"/>
              </w:numPr>
              <w:ind w:left="343"/>
              <w:rPr>
                <w:rFonts w:ascii="Garamond" w:hAnsi="Garamond"/>
                <w:b/>
                <w:sz w:val="22"/>
                <w:szCs w:val="22"/>
              </w:rPr>
            </w:pPr>
            <w:r w:rsidRPr="00A3189D">
              <w:rPr>
                <w:rFonts w:ascii="Garamond" w:hAnsi="Garamond"/>
                <w:b/>
                <w:sz w:val="22"/>
                <w:szCs w:val="22"/>
              </w:rPr>
              <w:t>IATP</w:t>
            </w:r>
            <w:r>
              <w:rPr>
                <w:rFonts w:ascii="Garamond" w:hAnsi="Garamond"/>
                <w:b/>
                <w:sz w:val="22"/>
                <w:szCs w:val="22"/>
              </w:rPr>
              <w:t xml:space="preserve">: </w:t>
            </w:r>
            <w:r w:rsidR="005A03A4">
              <w:rPr>
                <w:rFonts w:ascii="Garamond" w:hAnsi="Garamond"/>
                <w:sz w:val="22"/>
                <w:szCs w:val="22"/>
              </w:rPr>
              <w:t xml:space="preserve">Technical assistance was provided by the Idaho Assistive Technology Project with </w:t>
            </w:r>
            <w:r w:rsidR="005A03A4" w:rsidRPr="005A03A4">
              <w:rPr>
                <w:rFonts w:ascii="Garamond" w:hAnsi="Garamond"/>
                <w:b/>
                <w:sz w:val="22"/>
                <w:szCs w:val="22"/>
              </w:rPr>
              <w:t>2,060 people</w:t>
            </w:r>
            <w:r w:rsidR="005A03A4">
              <w:rPr>
                <w:rFonts w:ascii="Garamond" w:hAnsi="Garamond"/>
                <w:sz w:val="22"/>
                <w:szCs w:val="22"/>
              </w:rPr>
              <w:t xml:space="preserve"> across Idaho. Activities included equipment demonstrations; roundtable discussions; and phone interactions regarding funding, loans, equipment use and acquisition. </w:t>
            </w:r>
          </w:p>
          <w:p w:rsidR="00F125B2" w:rsidRPr="00F125B2" w:rsidRDefault="005A03A4" w:rsidP="005A03A4">
            <w:pPr>
              <w:pStyle w:val="ListParagraph"/>
              <w:numPr>
                <w:ilvl w:val="0"/>
                <w:numId w:val="16"/>
              </w:numPr>
              <w:ind w:left="343"/>
              <w:rPr>
                <w:rFonts w:ascii="Garamond" w:hAnsi="Garamond"/>
                <w:b/>
                <w:sz w:val="22"/>
                <w:szCs w:val="22"/>
              </w:rPr>
            </w:pPr>
            <w:r w:rsidRPr="005A03A4">
              <w:rPr>
                <w:rFonts w:ascii="Garamond" w:hAnsi="Garamond"/>
                <w:b/>
                <w:sz w:val="22"/>
                <w:szCs w:val="22"/>
              </w:rPr>
              <w:t>ID</w:t>
            </w:r>
            <w:r>
              <w:rPr>
                <w:rFonts w:ascii="Garamond" w:hAnsi="Garamond"/>
                <w:b/>
                <w:sz w:val="22"/>
                <w:szCs w:val="22"/>
              </w:rPr>
              <w:t xml:space="preserve"> </w:t>
            </w:r>
            <w:r w:rsidRPr="005A03A4">
              <w:rPr>
                <w:rFonts w:ascii="Garamond" w:hAnsi="Garamond"/>
                <w:b/>
                <w:sz w:val="22"/>
                <w:szCs w:val="22"/>
              </w:rPr>
              <w:t>PCYDB</w:t>
            </w:r>
            <w:r>
              <w:rPr>
                <w:rFonts w:ascii="Garamond" w:hAnsi="Garamond"/>
                <w:b/>
                <w:sz w:val="22"/>
                <w:szCs w:val="22"/>
              </w:rPr>
              <w:t>:</w:t>
            </w:r>
            <w:r>
              <w:rPr>
                <w:rFonts w:ascii="Garamond" w:hAnsi="Garamond"/>
                <w:sz w:val="22"/>
                <w:szCs w:val="22"/>
              </w:rPr>
              <w:t xml:space="preserve"> The Idaho Project for Children and Youth with Deaf/Blindness impact</w:t>
            </w:r>
            <w:r w:rsidR="00F125B2">
              <w:rPr>
                <w:rFonts w:ascii="Garamond" w:hAnsi="Garamond"/>
                <w:sz w:val="22"/>
                <w:szCs w:val="22"/>
              </w:rPr>
              <w:t>ed</w:t>
            </w:r>
            <w:r>
              <w:rPr>
                <w:rFonts w:ascii="Garamond" w:hAnsi="Garamond"/>
                <w:sz w:val="22"/>
                <w:szCs w:val="22"/>
              </w:rPr>
              <w:t xml:space="preserve"> </w:t>
            </w:r>
            <w:r w:rsidRPr="00894529">
              <w:rPr>
                <w:rFonts w:ascii="Garamond" w:hAnsi="Garamond"/>
                <w:b/>
                <w:sz w:val="22"/>
                <w:szCs w:val="22"/>
              </w:rPr>
              <w:t>460 people</w:t>
            </w:r>
            <w:r>
              <w:rPr>
                <w:rFonts w:ascii="Garamond" w:hAnsi="Garamond"/>
                <w:sz w:val="22"/>
                <w:szCs w:val="22"/>
              </w:rPr>
              <w:t xml:space="preserve"> through technical assistance activities. Activities included school and home visits regarding communication system</w:t>
            </w:r>
            <w:r w:rsidR="00CF4203">
              <w:rPr>
                <w:rFonts w:ascii="Garamond" w:hAnsi="Garamond"/>
                <w:sz w:val="22"/>
                <w:szCs w:val="22"/>
              </w:rPr>
              <w:t>s</w:t>
            </w:r>
            <w:r>
              <w:rPr>
                <w:rFonts w:ascii="Garamond" w:hAnsi="Garamond"/>
                <w:sz w:val="22"/>
                <w:szCs w:val="22"/>
              </w:rPr>
              <w:t xml:space="preserve"> development and learning strategies, vision assessments, transition to school information, assistance with IEP and Person Centered Planning, and to introduce calming strategies</w:t>
            </w:r>
            <w:r w:rsidR="00F125B2">
              <w:rPr>
                <w:rFonts w:ascii="Garamond" w:hAnsi="Garamond"/>
                <w:sz w:val="22"/>
                <w:szCs w:val="22"/>
              </w:rPr>
              <w:t xml:space="preserve">; monthly mailers to parent, caregivers teachers, and service providers; project library loans for DVD’s videos, books, switches, toys etc., and distance mentoring of school personnel. </w:t>
            </w:r>
          </w:p>
          <w:p w:rsidR="00A3189D" w:rsidRPr="002E5335" w:rsidRDefault="00F125B2" w:rsidP="004E5790">
            <w:pPr>
              <w:pStyle w:val="ListParagraph"/>
              <w:numPr>
                <w:ilvl w:val="0"/>
                <w:numId w:val="16"/>
              </w:numPr>
              <w:ind w:left="343"/>
              <w:rPr>
                <w:rFonts w:ascii="Garamond" w:hAnsi="Garamond"/>
                <w:b/>
                <w:sz w:val="22"/>
                <w:szCs w:val="22"/>
              </w:rPr>
            </w:pPr>
            <w:proofErr w:type="spellStart"/>
            <w:r>
              <w:rPr>
                <w:rFonts w:ascii="Garamond" w:hAnsi="Garamond"/>
                <w:b/>
                <w:sz w:val="22"/>
                <w:szCs w:val="22"/>
              </w:rPr>
              <w:t>IdahoSTARS</w:t>
            </w:r>
            <w:proofErr w:type="spellEnd"/>
            <w:r>
              <w:rPr>
                <w:rFonts w:ascii="Garamond" w:hAnsi="Garamond"/>
                <w:b/>
                <w:sz w:val="22"/>
                <w:szCs w:val="22"/>
              </w:rPr>
              <w:t xml:space="preserve">: </w:t>
            </w:r>
            <w:proofErr w:type="spellStart"/>
            <w:r>
              <w:rPr>
                <w:rFonts w:ascii="Garamond" w:hAnsi="Garamond"/>
                <w:sz w:val="22"/>
                <w:szCs w:val="22"/>
              </w:rPr>
              <w:t>IdahoSTARS</w:t>
            </w:r>
            <w:proofErr w:type="spellEnd"/>
            <w:r>
              <w:rPr>
                <w:rFonts w:ascii="Garamond" w:hAnsi="Garamond"/>
                <w:sz w:val="22"/>
                <w:szCs w:val="22"/>
              </w:rPr>
              <w:t xml:space="preserve"> supports childcare providers and parents searching for childcare in the state of Idaho. Through seven regional offices, child care consultants conducted </w:t>
            </w:r>
            <w:r w:rsidRPr="00F125B2">
              <w:rPr>
                <w:rFonts w:ascii="Garamond" w:hAnsi="Garamond"/>
                <w:b/>
                <w:sz w:val="22"/>
                <w:szCs w:val="22"/>
              </w:rPr>
              <w:t>2068 site visits</w:t>
            </w:r>
            <w:r w:rsidR="00CF4203">
              <w:rPr>
                <w:rFonts w:ascii="Garamond" w:hAnsi="Garamond"/>
                <w:sz w:val="22"/>
                <w:szCs w:val="22"/>
              </w:rPr>
              <w:t xml:space="preserve">. </w:t>
            </w:r>
            <w:r w:rsidRPr="00F125B2">
              <w:rPr>
                <w:rFonts w:ascii="Garamond" w:hAnsi="Garamond"/>
                <w:b/>
                <w:sz w:val="22"/>
                <w:szCs w:val="22"/>
              </w:rPr>
              <w:t>104 child care programs</w:t>
            </w:r>
            <w:r>
              <w:rPr>
                <w:rFonts w:ascii="Garamond" w:hAnsi="Garamond"/>
                <w:sz w:val="22"/>
                <w:szCs w:val="22"/>
              </w:rPr>
              <w:t xml:space="preserve"> and </w:t>
            </w:r>
            <w:r w:rsidRPr="00F125B2">
              <w:rPr>
                <w:rFonts w:ascii="Garamond" w:hAnsi="Garamond"/>
                <w:b/>
                <w:sz w:val="22"/>
                <w:szCs w:val="22"/>
              </w:rPr>
              <w:t>384 providers</w:t>
            </w:r>
            <w:r>
              <w:rPr>
                <w:rFonts w:ascii="Garamond" w:hAnsi="Garamond"/>
                <w:sz w:val="22"/>
                <w:szCs w:val="22"/>
              </w:rPr>
              <w:t xml:space="preserve"> participated in the Steps to Quality program that includes standards on inclusive care for children with disabilities. </w:t>
            </w:r>
            <w:r w:rsidRPr="004E5790">
              <w:rPr>
                <w:rFonts w:ascii="Garamond" w:hAnsi="Garamond"/>
                <w:b/>
                <w:sz w:val="22"/>
                <w:szCs w:val="22"/>
              </w:rPr>
              <w:t xml:space="preserve">2,192 </w:t>
            </w:r>
            <w:r w:rsidR="004E5790" w:rsidRPr="004E5790">
              <w:rPr>
                <w:rFonts w:ascii="Garamond" w:hAnsi="Garamond"/>
                <w:b/>
                <w:sz w:val="22"/>
                <w:szCs w:val="22"/>
              </w:rPr>
              <w:t>training</w:t>
            </w:r>
            <w:r w:rsidR="004E5790">
              <w:rPr>
                <w:rFonts w:ascii="Garamond" w:hAnsi="Garamond"/>
                <w:sz w:val="22"/>
                <w:szCs w:val="22"/>
              </w:rPr>
              <w:t xml:space="preserve"> </w:t>
            </w:r>
            <w:r w:rsidRPr="00CF4203">
              <w:rPr>
                <w:rFonts w:ascii="Garamond" w:hAnsi="Garamond"/>
                <w:b/>
                <w:sz w:val="22"/>
                <w:szCs w:val="22"/>
              </w:rPr>
              <w:t>scholarships</w:t>
            </w:r>
            <w:r>
              <w:rPr>
                <w:rFonts w:ascii="Garamond" w:hAnsi="Garamond"/>
                <w:sz w:val="22"/>
                <w:szCs w:val="22"/>
              </w:rPr>
              <w:t xml:space="preserve"> </w:t>
            </w:r>
            <w:r w:rsidR="004E5790">
              <w:rPr>
                <w:rFonts w:ascii="Garamond" w:hAnsi="Garamond"/>
                <w:sz w:val="22"/>
                <w:szCs w:val="22"/>
              </w:rPr>
              <w:t xml:space="preserve">and </w:t>
            </w:r>
            <w:r w:rsidR="004E5790" w:rsidRPr="004E5790">
              <w:rPr>
                <w:rFonts w:ascii="Garamond" w:hAnsi="Garamond"/>
                <w:b/>
                <w:sz w:val="22"/>
                <w:szCs w:val="22"/>
              </w:rPr>
              <w:t>65 academic scholarship</w:t>
            </w:r>
            <w:r w:rsidR="004E5790">
              <w:rPr>
                <w:rFonts w:ascii="Garamond" w:hAnsi="Garamond"/>
                <w:sz w:val="22"/>
                <w:szCs w:val="22"/>
              </w:rPr>
              <w:t xml:space="preserve"> were awarded to providers. </w:t>
            </w:r>
            <w:r w:rsidR="004E5790">
              <w:rPr>
                <w:rFonts w:ascii="Garamond" w:hAnsi="Garamond"/>
                <w:b/>
                <w:sz w:val="22"/>
                <w:szCs w:val="22"/>
              </w:rPr>
              <w:t xml:space="preserve">3,651 </w:t>
            </w:r>
            <w:r w:rsidR="004E5790">
              <w:rPr>
                <w:rFonts w:ascii="Garamond" w:hAnsi="Garamond"/>
                <w:sz w:val="22"/>
                <w:szCs w:val="22"/>
              </w:rPr>
              <w:t xml:space="preserve">providers participated in the </w:t>
            </w:r>
            <w:proofErr w:type="spellStart"/>
            <w:r w:rsidR="004E5790">
              <w:rPr>
                <w:rFonts w:ascii="Garamond" w:hAnsi="Garamond"/>
                <w:sz w:val="22"/>
                <w:szCs w:val="22"/>
              </w:rPr>
              <w:t>IdahoSTARS</w:t>
            </w:r>
            <w:proofErr w:type="spellEnd"/>
            <w:r w:rsidR="004E5790">
              <w:rPr>
                <w:rFonts w:ascii="Garamond" w:hAnsi="Garamond"/>
                <w:sz w:val="22"/>
                <w:szCs w:val="22"/>
              </w:rPr>
              <w:t xml:space="preserve"> professional development registry, </w:t>
            </w:r>
            <w:r w:rsidR="004E5790" w:rsidRPr="004E5790">
              <w:rPr>
                <w:rFonts w:ascii="Garamond" w:hAnsi="Garamond"/>
                <w:b/>
                <w:sz w:val="22"/>
                <w:szCs w:val="22"/>
              </w:rPr>
              <w:t>759 were new</w:t>
            </w:r>
            <w:r w:rsidR="004E5790">
              <w:rPr>
                <w:rFonts w:ascii="Garamond" w:hAnsi="Garamond"/>
                <w:sz w:val="22"/>
                <w:szCs w:val="22"/>
              </w:rPr>
              <w:t xml:space="preserve"> this past fiscal year.  Regional office staff provided referrals to </w:t>
            </w:r>
            <w:r w:rsidR="004E5790" w:rsidRPr="00CF4203">
              <w:rPr>
                <w:rFonts w:ascii="Garamond" w:hAnsi="Garamond"/>
                <w:b/>
                <w:sz w:val="22"/>
                <w:szCs w:val="22"/>
              </w:rPr>
              <w:t>1,843 parents</w:t>
            </w:r>
            <w:r w:rsidR="004E5790">
              <w:rPr>
                <w:rFonts w:ascii="Garamond" w:hAnsi="Garamond"/>
                <w:sz w:val="22"/>
                <w:szCs w:val="22"/>
              </w:rPr>
              <w:t xml:space="preserve"> in search of child care options. Each of seven regional offices engaged in lending library activities. In total </w:t>
            </w:r>
            <w:r w:rsidR="004E5790" w:rsidRPr="004E5790">
              <w:rPr>
                <w:rFonts w:ascii="Garamond" w:hAnsi="Garamond"/>
                <w:b/>
                <w:sz w:val="22"/>
                <w:szCs w:val="22"/>
              </w:rPr>
              <w:t>1,192 lending library activities</w:t>
            </w:r>
            <w:r w:rsidR="004E5790">
              <w:rPr>
                <w:rFonts w:ascii="Garamond" w:hAnsi="Garamond"/>
                <w:sz w:val="22"/>
                <w:szCs w:val="22"/>
              </w:rPr>
              <w:t xml:space="preserve"> transpired this past fiscal year. In addition, regional and central office staff attended fairs with information booths, conducted consultations on the Child Care Health Consultant’s Roles and Services and wrote informational blogs related to quality care.</w:t>
            </w:r>
          </w:p>
          <w:p w:rsidR="002E5335" w:rsidRPr="00BD64E5" w:rsidRDefault="002E5335" w:rsidP="00BD64E5">
            <w:pPr>
              <w:pStyle w:val="ListParagraph"/>
              <w:numPr>
                <w:ilvl w:val="0"/>
                <w:numId w:val="16"/>
              </w:numPr>
              <w:ind w:left="343"/>
              <w:rPr>
                <w:rFonts w:ascii="Garamond" w:hAnsi="Garamond"/>
                <w:b/>
                <w:sz w:val="22"/>
                <w:szCs w:val="22"/>
              </w:rPr>
            </w:pPr>
            <w:r w:rsidRPr="002E5335">
              <w:rPr>
                <w:rFonts w:ascii="Garamond" w:hAnsi="Garamond"/>
                <w:b/>
                <w:sz w:val="22"/>
                <w:szCs w:val="22"/>
              </w:rPr>
              <w:t>IT Clearinghouse:</w:t>
            </w:r>
            <w:r>
              <w:rPr>
                <w:rFonts w:ascii="Garamond" w:hAnsi="Garamond"/>
                <w:b/>
                <w:sz w:val="22"/>
                <w:szCs w:val="22"/>
              </w:rPr>
              <w:t xml:space="preserve"> </w:t>
            </w:r>
            <w:r>
              <w:rPr>
                <w:rFonts w:ascii="Garamond" w:hAnsi="Garamond"/>
                <w:sz w:val="22"/>
                <w:szCs w:val="22"/>
              </w:rPr>
              <w:t xml:space="preserve">The Idaho Training Clearinghouse project provides a training, technical assistance, and learning community resource for the State of Idaho. The ITC hosted </w:t>
            </w:r>
            <w:r w:rsidRPr="002E5335">
              <w:rPr>
                <w:rFonts w:ascii="Garamond" w:hAnsi="Garamond"/>
                <w:b/>
                <w:sz w:val="22"/>
                <w:szCs w:val="22"/>
              </w:rPr>
              <w:t>15 separate learning communities</w:t>
            </w:r>
            <w:r>
              <w:rPr>
                <w:rFonts w:ascii="Garamond" w:hAnsi="Garamond"/>
                <w:b/>
                <w:sz w:val="22"/>
                <w:szCs w:val="22"/>
              </w:rPr>
              <w:t xml:space="preserve"> </w:t>
            </w:r>
            <w:r>
              <w:rPr>
                <w:rFonts w:ascii="Garamond" w:hAnsi="Garamond"/>
                <w:sz w:val="22"/>
                <w:szCs w:val="22"/>
              </w:rPr>
              <w:t xml:space="preserve">that include the following: Accessible Instructional Material, Alternative Assessment, </w:t>
            </w:r>
            <w:r w:rsidR="00BD64E5">
              <w:rPr>
                <w:rFonts w:ascii="Garamond" w:hAnsi="Garamond"/>
                <w:sz w:val="22"/>
                <w:szCs w:val="22"/>
              </w:rPr>
              <w:t xml:space="preserve">Assistive Technology, </w:t>
            </w:r>
            <w:r>
              <w:rPr>
                <w:rFonts w:ascii="Garamond" w:hAnsi="Garamond"/>
                <w:sz w:val="22"/>
                <w:szCs w:val="22"/>
              </w:rPr>
              <w:t xml:space="preserve">Special Education in Charter Schools, Continuous Improvement Monitoring, Early Childhood, </w:t>
            </w:r>
            <w:r w:rsidR="00BD64E5">
              <w:rPr>
                <w:rFonts w:ascii="Garamond" w:hAnsi="Garamond"/>
                <w:sz w:val="22"/>
                <w:szCs w:val="22"/>
              </w:rPr>
              <w:t xml:space="preserve">English Language Learners, IDEA Dispute Resolution, Idaho Educational Services for the Deaf and Blind, New Special Education Teacher, Results Work, School-Based Medicaid, Secondary Transition, </w:t>
            </w:r>
            <w:r>
              <w:rPr>
                <w:rFonts w:ascii="Garamond" w:hAnsi="Garamond"/>
                <w:sz w:val="22"/>
                <w:szCs w:val="22"/>
              </w:rPr>
              <w:t>Positive Behavioral Intervention Suppor</w:t>
            </w:r>
            <w:r w:rsidR="00BD64E5">
              <w:rPr>
                <w:rFonts w:ascii="Garamond" w:hAnsi="Garamond"/>
                <w:sz w:val="22"/>
                <w:szCs w:val="22"/>
              </w:rPr>
              <w:t>ts, and Specific Learning Disabilities.</w:t>
            </w:r>
            <w:r w:rsidR="00F105AB">
              <w:rPr>
                <w:rFonts w:ascii="Garamond" w:hAnsi="Garamond"/>
                <w:sz w:val="22"/>
                <w:szCs w:val="22"/>
              </w:rPr>
              <w:t xml:space="preserve"> In total, there were </w:t>
            </w:r>
            <w:r w:rsidR="00F105AB" w:rsidRPr="00F105AB">
              <w:rPr>
                <w:rFonts w:ascii="Garamond" w:hAnsi="Garamond"/>
                <w:b/>
                <w:sz w:val="22"/>
                <w:szCs w:val="22"/>
              </w:rPr>
              <w:t>21,901 participants</w:t>
            </w:r>
            <w:r w:rsidR="00F105AB">
              <w:rPr>
                <w:rFonts w:ascii="Garamond" w:hAnsi="Garamond"/>
                <w:sz w:val="22"/>
                <w:szCs w:val="22"/>
              </w:rPr>
              <w:t xml:space="preserve"> </w:t>
            </w:r>
            <w:r w:rsidR="00BD64E5">
              <w:rPr>
                <w:rFonts w:ascii="Garamond" w:hAnsi="Garamond"/>
                <w:sz w:val="22"/>
                <w:szCs w:val="22"/>
              </w:rPr>
              <w:t xml:space="preserve">who attended the </w:t>
            </w:r>
            <w:r w:rsidR="00F105AB">
              <w:rPr>
                <w:rFonts w:ascii="Garamond" w:hAnsi="Garamond"/>
                <w:sz w:val="22"/>
                <w:szCs w:val="22"/>
              </w:rPr>
              <w:t xml:space="preserve">learning communities this past fiscal year. The ITC </w:t>
            </w:r>
            <w:r w:rsidR="00BD64E5">
              <w:rPr>
                <w:rFonts w:ascii="Garamond" w:hAnsi="Garamond"/>
                <w:sz w:val="22"/>
                <w:szCs w:val="22"/>
              </w:rPr>
              <w:t xml:space="preserve">hosts and provides assistance to groups for on-line trainings, meetings, calendar events, and access to private portals. In total, </w:t>
            </w:r>
            <w:r w:rsidR="00BD64E5" w:rsidRPr="00BD64E5">
              <w:rPr>
                <w:rFonts w:ascii="Garamond" w:hAnsi="Garamond"/>
                <w:b/>
                <w:sz w:val="22"/>
                <w:szCs w:val="22"/>
              </w:rPr>
              <w:t>6,583 people</w:t>
            </w:r>
            <w:r w:rsidR="00BD64E5">
              <w:rPr>
                <w:rFonts w:ascii="Garamond" w:hAnsi="Garamond"/>
                <w:sz w:val="22"/>
                <w:szCs w:val="22"/>
              </w:rPr>
              <w:t xml:space="preserve"> participated with the ITC during these TA activities. </w:t>
            </w:r>
          </w:p>
          <w:p w:rsidR="00BD64E5" w:rsidRPr="009871DE" w:rsidRDefault="00BD64E5" w:rsidP="009871DE">
            <w:pPr>
              <w:pStyle w:val="ListParagraph"/>
              <w:numPr>
                <w:ilvl w:val="0"/>
                <w:numId w:val="16"/>
              </w:numPr>
              <w:ind w:left="343"/>
              <w:rPr>
                <w:rFonts w:ascii="Garamond" w:hAnsi="Garamond"/>
                <w:b/>
                <w:sz w:val="22"/>
                <w:szCs w:val="22"/>
              </w:rPr>
            </w:pPr>
            <w:r w:rsidRPr="00BD64E5">
              <w:rPr>
                <w:rFonts w:ascii="Garamond" w:hAnsi="Garamond"/>
                <w:b/>
                <w:sz w:val="22"/>
                <w:szCs w:val="22"/>
              </w:rPr>
              <w:t>SPDG RTI</w:t>
            </w:r>
            <w:r>
              <w:rPr>
                <w:rFonts w:ascii="Garamond" w:hAnsi="Garamond"/>
                <w:b/>
                <w:sz w:val="22"/>
                <w:szCs w:val="22"/>
              </w:rPr>
              <w:t>:</w:t>
            </w:r>
            <w:r w:rsidR="009871DE">
              <w:rPr>
                <w:rFonts w:ascii="Garamond" w:hAnsi="Garamond"/>
                <w:b/>
                <w:sz w:val="22"/>
                <w:szCs w:val="22"/>
              </w:rPr>
              <w:t xml:space="preserve"> </w:t>
            </w:r>
            <w:r w:rsidR="009871DE">
              <w:rPr>
                <w:rFonts w:ascii="Garamond" w:hAnsi="Garamond"/>
                <w:sz w:val="22"/>
                <w:szCs w:val="22"/>
              </w:rPr>
              <w:t xml:space="preserve">The Response to Intervention Project, hosted by the Idaho ITC, also provides a learning communities that included </w:t>
            </w:r>
            <w:r w:rsidR="009871DE" w:rsidRPr="009871DE">
              <w:rPr>
                <w:rFonts w:ascii="Garamond" w:hAnsi="Garamond"/>
                <w:b/>
                <w:sz w:val="22"/>
                <w:szCs w:val="22"/>
              </w:rPr>
              <w:t>3,621 participants</w:t>
            </w:r>
            <w:r w:rsidR="009871DE">
              <w:rPr>
                <w:rFonts w:ascii="Garamond" w:hAnsi="Garamond"/>
                <w:sz w:val="22"/>
                <w:szCs w:val="22"/>
              </w:rPr>
              <w:t xml:space="preserve"> throughout the fiscal year. In addition, the SPDG RTI project provides TA to host trainings, meetings, and private portals for specific groups. A total of </w:t>
            </w:r>
            <w:r w:rsidR="009871DE" w:rsidRPr="009871DE">
              <w:rPr>
                <w:rFonts w:ascii="Garamond" w:hAnsi="Garamond"/>
                <w:b/>
                <w:sz w:val="22"/>
                <w:szCs w:val="22"/>
              </w:rPr>
              <w:t>3, 919 people</w:t>
            </w:r>
            <w:r w:rsidR="009871DE">
              <w:rPr>
                <w:rFonts w:ascii="Garamond" w:hAnsi="Garamond"/>
                <w:sz w:val="22"/>
                <w:szCs w:val="22"/>
              </w:rPr>
              <w:t xml:space="preserve"> participated.  </w:t>
            </w:r>
          </w:p>
          <w:p w:rsidR="009871DE" w:rsidRPr="009871DE" w:rsidRDefault="009871DE" w:rsidP="009871DE">
            <w:pPr>
              <w:pStyle w:val="ListParagraph"/>
              <w:numPr>
                <w:ilvl w:val="0"/>
                <w:numId w:val="16"/>
              </w:numPr>
              <w:ind w:left="343"/>
              <w:rPr>
                <w:rFonts w:ascii="Garamond" w:hAnsi="Garamond"/>
                <w:b/>
                <w:sz w:val="22"/>
                <w:szCs w:val="22"/>
              </w:rPr>
            </w:pPr>
            <w:r w:rsidRPr="009871DE">
              <w:rPr>
                <w:rFonts w:ascii="Garamond" w:hAnsi="Garamond"/>
                <w:b/>
                <w:sz w:val="22"/>
                <w:szCs w:val="22"/>
              </w:rPr>
              <w:t>UICYSC</w:t>
            </w:r>
            <w:r>
              <w:rPr>
                <w:rFonts w:ascii="Garamond" w:hAnsi="Garamond"/>
                <w:b/>
                <w:sz w:val="22"/>
                <w:szCs w:val="22"/>
              </w:rPr>
              <w:t xml:space="preserve">: </w:t>
            </w:r>
            <w:r>
              <w:rPr>
                <w:rFonts w:ascii="Garamond" w:hAnsi="Garamond"/>
                <w:sz w:val="22"/>
                <w:szCs w:val="22"/>
              </w:rPr>
              <w:t xml:space="preserve">Gwen Mitchell, director of the CDHD clinical service program provides on-going TA and consultation to family members, educators, schools, medical administrators, UI faculty, and staff. In total she provided TA to approximately </w:t>
            </w:r>
            <w:r w:rsidRPr="009871DE">
              <w:rPr>
                <w:rFonts w:ascii="Garamond" w:hAnsi="Garamond"/>
                <w:b/>
                <w:sz w:val="22"/>
                <w:szCs w:val="22"/>
              </w:rPr>
              <w:t>18 individuals</w:t>
            </w:r>
            <w:r>
              <w:rPr>
                <w:rFonts w:ascii="Garamond" w:hAnsi="Garamond"/>
                <w:sz w:val="22"/>
                <w:szCs w:val="22"/>
              </w:rPr>
              <w:t xml:space="preserve"> this past fiscal year.</w:t>
            </w:r>
          </w:p>
        </w:tc>
        <w:tc>
          <w:tcPr>
            <w:tcW w:w="832" w:type="pct"/>
          </w:tcPr>
          <w:p w:rsidR="00AD4D78" w:rsidRPr="0039072E" w:rsidRDefault="00AD4D78" w:rsidP="00AD4D78">
            <w:pPr>
              <w:rPr>
                <w:rFonts w:ascii="Garamond" w:hAnsi="Garamond"/>
                <w:b/>
                <w:sz w:val="22"/>
                <w:szCs w:val="22"/>
              </w:rPr>
            </w:pPr>
            <w:r w:rsidRPr="0039072E">
              <w:rPr>
                <w:rFonts w:ascii="Garamond" w:hAnsi="Garamond"/>
                <w:b/>
                <w:sz w:val="22"/>
                <w:szCs w:val="22"/>
              </w:rPr>
              <w:sym w:font="Wingdings" w:char="F0FE"/>
            </w:r>
            <w:r w:rsidRPr="0039072E">
              <w:rPr>
                <w:rFonts w:ascii="Garamond" w:hAnsi="Garamond"/>
                <w:b/>
                <w:sz w:val="22"/>
                <w:szCs w:val="22"/>
              </w:rPr>
              <w:t xml:space="preserve"> Fully achieved</w:t>
            </w:r>
          </w:p>
          <w:p w:rsidR="00AD4D78" w:rsidRDefault="00AD4D78" w:rsidP="00AD4D78">
            <w:pPr>
              <w:rPr>
                <w:rFonts w:ascii="Garamond" w:hAnsi="Garamond"/>
                <w:sz w:val="22"/>
                <w:szCs w:val="22"/>
              </w:rPr>
            </w:pPr>
          </w:p>
          <w:p w:rsidR="00AD4D78" w:rsidRDefault="00AD4D78" w:rsidP="00AD4D78">
            <w:pPr>
              <w:rPr>
                <w:rFonts w:ascii="Garamond" w:hAnsi="Garamond"/>
                <w:b/>
                <w:sz w:val="22"/>
                <w:szCs w:val="22"/>
              </w:rPr>
            </w:pPr>
            <w:r w:rsidRPr="00A44D6D">
              <w:rPr>
                <w:rFonts w:ascii="Garamond" w:hAnsi="Garamond"/>
                <w:sz w:val="22"/>
                <w:szCs w:val="22"/>
              </w:rPr>
              <w:sym w:font="Wingdings" w:char="F06F"/>
            </w:r>
            <w:r w:rsidRPr="00A44D6D">
              <w:rPr>
                <w:rFonts w:ascii="Garamond" w:hAnsi="Garamond"/>
                <w:sz w:val="22"/>
                <w:szCs w:val="22"/>
              </w:rPr>
              <w:t xml:space="preserve"> </w:t>
            </w:r>
            <w:r w:rsidRPr="0039072E">
              <w:rPr>
                <w:rFonts w:ascii="Garamond" w:hAnsi="Garamond"/>
                <w:sz w:val="22"/>
                <w:szCs w:val="22"/>
              </w:rPr>
              <w:t>Partially achieved</w:t>
            </w:r>
          </w:p>
          <w:p w:rsidR="00AD4D78" w:rsidRPr="0039072E" w:rsidRDefault="00AD4D78" w:rsidP="00AD4D78">
            <w:pPr>
              <w:rPr>
                <w:rFonts w:ascii="Garamond" w:hAnsi="Garamond"/>
                <w:b/>
                <w:sz w:val="22"/>
                <w:szCs w:val="22"/>
              </w:rPr>
            </w:pPr>
          </w:p>
          <w:p w:rsidR="00AD4D78" w:rsidRPr="00A44D6D" w:rsidRDefault="00AD4D78" w:rsidP="00AD4D78">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475C75" w:rsidRDefault="00475C75" w:rsidP="00EF5B91">
            <w:pPr>
              <w:pStyle w:val="ListParagraph"/>
              <w:ind w:left="13"/>
              <w:rPr>
                <w:rFonts w:ascii="Garamond" w:hAnsi="Garamond"/>
                <w:sz w:val="22"/>
                <w:szCs w:val="22"/>
              </w:rPr>
            </w:pPr>
          </w:p>
          <w:p w:rsidR="00475C75" w:rsidRPr="00475C75" w:rsidRDefault="00475C75" w:rsidP="00EF5B91">
            <w:pPr>
              <w:pStyle w:val="ListParagraph"/>
              <w:ind w:left="13"/>
              <w:rPr>
                <w:rFonts w:ascii="Garamond" w:hAnsi="Garamond"/>
                <w:b/>
                <w:sz w:val="22"/>
                <w:szCs w:val="22"/>
              </w:rPr>
            </w:pPr>
            <w:r w:rsidRPr="00475C75">
              <w:rPr>
                <w:rFonts w:ascii="Garamond" w:hAnsi="Garamond"/>
                <w:b/>
                <w:sz w:val="22"/>
                <w:szCs w:val="22"/>
              </w:rPr>
              <w:t>Participants Served:</w:t>
            </w:r>
          </w:p>
          <w:p w:rsidR="00475C75" w:rsidRDefault="00475C75" w:rsidP="00EF5B91">
            <w:pPr>
              <w:pStyle w:val="ListParagraph"/>
              <w:ind w:left="13"/>
              <w:rPr>
                <w:rFonts w:ascii="Garamond" w:hAnsi="Garamond"/>
                <w:sz w:val="22"/>
                <w:szCs w:val="22"/>
              </w:rPr>
            </w:pPr>
            <w:r>
              <w:rPr>
                <w:rFonts w:ascii="Garamond" w:hAnsi="Garamond"/>
                <w:sz w:val="22"/>
                <w:szCs w:val="22"/>
              </w:rPr>
              <w:t>Students     109</w:t>
            </w:r>
          </w:p>
          <w:p w:rsidR="00475C75" w:rsidRDefault="00475C75" w:rsidP="00EF5B91">
            <w:pPr>
              <w:pStyle w:val="ListParagraph"/>
              <w:ind w:left="13"/>
              <w:rPr>
                <w:rFonts w:ascii="Garamond" w:hAnsi="Garamond"/>
                <w:sz w:val="22"/>
                <w:szCs w:val="22"/>
              </w:rPr>
            </w:pPr>
            <w:r>
              <w:rPr>
                <w:rFonts w:ascii="Garamond" w:hAnsi="Garamond"/>
                <w:sz w:val="22"/>
                <w:szCs w:val="22"/>
              </w:rPr>
              <w:t>Pros/Para  13,174</w:t>
            </w:r>
          </w:p>
          <w:p w:rsidR="00475C75" w:rsidRDefault="00475C75" w:rsidP="00EF5B91">
            <w:pPr>
              <w:pStyle w:val="ListParagraph"/>
              <w:ind w:left="13"/>
              <w:rPr>
                <w:rFonts w:ascii="Garamond" w:hAnsi="Garamond"/>
                <w:sz w:val="22"/>
                <w:szCs w:val="22"/>
              </w:rPr>
            </w:pPr>
            <w:r>
              <w:rPr>
                <w:rFonts w:ascii="Garamond" w:hAnsi="Garamond"/>
                <w:sz w:val="22"/>
                <w:szCs w:val="22"/>
              </w:rPr>
              <w:t xml:space="preserve">Families     3,6000  </w:t>
            </w:r>
          </w:p>
          <w:p w:rsidR="00475C75" w:rsidRDefault="00475C75" w:rsidP="00EF5B91">
            <w:pPr>
              <w:pStyle w:val="ListParagraph"/>
              <w:ind w:left="13"/>
              <w:rPr>
                <w:rFonts w:ascii="Garamond" w:hAnsi="Garamond"/>
                <w:sz w:val="22"/>
                <w:szCs w:val="22"/>
              </w:rPr>
            </w:pPr>
            <w:r>
              <w:rPr>
                <w:rFonts w:ascii="Garamond" w:hAnsi="Garamond"/>
                <w:sz w:val="22"/>
                <w:szCs w:val="22"/>
              </w:rPr>
              <w:t>Adults        72</w:t>
            </w:r>
          </w:p>
          <w:p w:rsidR="00475C75" w:rsidRDefault="00475C75" w:rsidP="00EF5B91">
            <w:pPr>
              <w:pStyle w:val="ListParagraph"/>
              <w:ind w:left="13"/>
              <w:rPr>
                <w:rFonts w:ascii="Garamond" w:hAnsi="Garamond"/>
                <w:sz w:val="22"/>
                <w:szCs w:val="22"/>
              </w:rPr>
            </w:pPr>
            <w:r>
              <w:rPr>
                <w:rFonts w:ascii="Garamond" w:hAnsi="Garamond"/>
                <w:sz w:val="22"/>
                <w:szCs w:val="22"/>
              </w:rPr>
              <w:t>Children     76</w:t>
            </w:r>
          </w:p>
          <w:p w:rsidR="00475C75" w:rsidRDefault="00475C75" w:rsidP="00EF5B91">
            <w:pPr>
              <w:pStyle w:val="ListParagraph"/>
              <w:ind w:left="13"/>
              <w:rPr>
                <w:rFonts w:ascii="Garamond" w:hAnsi="Garamond"/>
                <w:sz w:val="22"/>
                <w:szCs w:val="22"/>
              </w:rPr>
            </w:pPr>
            <w:r>
              <w:rPr>
                <w:rFonts w:ascii="Garamond" w:hAnsi="Garamond"/>
                <w:sz w:val="22"/>
                <w:szCs w:val="22"/>
              </w:rPr>
              <w:t>Policy         23</w:t>
            </w:r>
          </w:p>
          <w:p w:rsidR="00475C75" w:rsidRPr="00245DFD" w:rsidRDefault="00475C75" w:rsidP="00EF5B91">
            <w:pPr>
              <w:pStyle w:val="ListParagraph"/>
              <w:ind w:left="13"/>
              <w:rPr>
                <w:rFonts w:ascii="Garamond" w:hAnsi="Garamond"/>
                <w:sz w:val="22"/>
                <w:szCs w:val="22"/>
              </w:rPr>
            </w:pPr>
            <w:r>
              <w:rPr>
                <w:rFonts w:ascii="Garamond" w:hAnsi="Garamond"/>
                <w:sz w:val="22"/>
                <w:szCs w:val="22"/>
              </w:rPr>
              <w:t>Public        31,374</w:t>
            </w:r>
          </w:p>
          <w:p w:rsidR="00EF5B91" w:rsidRPr="00245DFD" w:rsidRDefault="00EF5B91" w:rsidP="00EF5B91">
            <w:pPr>
              <w:rPr>
                <w:rFonts w:ascii="Garamond" w:hAnsi="Garamond"/>
                <w:sz w:val="22"/>
                <w:szCs w:val="22"/>
              </w:rPr>
            </w:pPr>
          </w:p>
          <w:p w:rsidR="00D4034B" w:rsidRDefault="002F30B6" w:rsidP="007B6C77">
            <w:pPr>
              <w:rPr>
                <w:rFonts w:ascii="Garamond" w:hAnsi="Garamond"/>
                <w:sz w:val="22"/>
                <w:szCs w:val="22"/>
              </w:rPr>
            </w:pPr>
            <w:r w:rsidRPr="00245DFD">
              <w:rPr>
                <w:rFonts w:ascii="Garamond" w:hAnsi="Garamond"/>
                <w:sz w:val="22"/>
                <w:szCs w:val="22"/>
              </w:rPr>
              <w:t xml:space="preserve"> </w:t>
            </w: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9871DE" w:rsidRDefault="009871DE" w:rsidP="007B6C77">
            <w:pPr>
              <w:rPr>
                <w:rFonts w:ascii="Garamond" w:hAnsi="Garamond"/>
                <w:sz w:val="22"/>
                <w:szCs w:val="22"/>
              </w:rPr>
            </w:pPr>
          </w:p>
          <w:p w:rsidR="00F4372D" w:rsidRPr="00F3644E" w:rsidRDefault="00F4372D" w:rsidP="00F4372D">
            <w:pPr>
              <w:ind w:left="22"/>
              <w:rPr>
                <w:rFonts w:ascii="Garamond" w:hAnsi="Garamond"/>
                <w:b/>
                <w:sz w:val="22"/>
                <w:szCs w:val="22"/>
              </w:rPr>
            </w:pPr>
            <w:r>
              <w:rPr>
                <w:rFonts w:ascii="Garamond" w:hAnsi="Garamond"/>
                <w:b/>
                <w:sz w:val="22"/>
                <w:szCs w:val="22"/>
              </w:rPr>
              <w:t>Goal 3</w:t>
            </w:r>
            <w:r>
              <w:rPr>
                <w:rFonts w:ascii="Garamond" w:hAnsi="Garamond"/>
                <w:b/>
                <w:sz w:val="22"/>
                <w:szCs w:val="22"/>
              </w:rPr>
              <w:t xml:space="preserve"> Overall: </w:t>
            </w:r>
            <w:r>
              <w:rPr>
                <w:rFonts w:ascii="Garamond" w:hAnsi="Garamond"/>
                <w:b/>
                <w:sz w:val="22"/>
                <w:szCs w:val="22"/>
              </w:rPr>
              <w:t>Fully</w:t>
            </w:r>
            <w:r>
              <w:rPr>
                <w:rFonts w:ascii="Garamond" w:hAnsi="Garamond"/>
                <w:b/>
                <w:sz w:val="22"/>
                <w:szCs w:val="22"/>
              </w:rPr>
              <w:t xml:space="preserve"> Achieved</w:t>
            </w:r>
          </w:p>
          <w:p w:rsidR="00F4372D" w:rsidRPr="00F3644E" w:rsidRDefault="00F4372D" w:rsidP="00F4372D">
            <w:pPr>
              <w:ind w:left="921"/>
              <w:rPr>
                <w:rFonts w:ascii="Garamond" w:hAnsi="Garamond"/>
                <w:b/>
                <w:sz w:val="22"/>
                <w:szCs w:val="22"/>
              </w:rPr>
            </w:pPr>
          </w:p>
          <w:p w:rsidR="00F4372D" w:rsidRPr="00F4372D" w:rsidRDefault="00F4372D" w:rsidP="00894529">
            <w:pPr>
              <w:pStyle w:val="Heading1"/>
              <w:outlineLvl w:val="0"/>
            </w:pPr>
            <w:r>
              <w:t xml:space="preserve">We exceed our five year goal by providing over 125, 000 people with technical assistance in the past four years. This year, 49, 210 participants received technical assistance which exceeded the annual goal of 25,000 participants. </w:t>
            </w:r>
            <w:bookmarkStart w:id="0" w:name="_GoBack"/>
            <w:bookmarkEnd w:id="0"/>
          </w:p>
        </w:tc>
      </w:tr>
    </w:tbl>
    <w:p w:rsidR="00890E90" w:rsidRPr="00245DFD" w:rsidRDefault="00890E90">
      <w:pPr>
        <w:rPr>
          <w:sz w:val="22"/>
          <w:szCs w:val="22"/>
        </w:rPr>
      </w:pPr>
    </w:p>
    <w:sectPr w:rsidR="00890E90" w:rsidRPr="00245DFD" w:rsidSect="006621A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85" w:rsidRDefault="00772885" w:rsidP="00772885">
      <w:r>
        <w:separator/>
      </w:r>
    </w:p>
  </w:endnote>
  <w:endnote w:type="continuationSeparator" w:id="0">
    <w:p w:rsidR="00772885" w:rsidRDefault="00772885" w:rsidP="007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55706"/>
      <w:docPartObj>
        <w:docPartGallery w:val="Page Numbers (Bottom of Page)"/>
        <w:docPartUnique/>
      </w:docPartObj>
    </w:sdtPr>
    <w:sdtEndPr/>
    <w:sdtContent>
      <w:sdt>
        <w:sdtPr>
          <w:id w:val="860082579"/>
          <w:docPartObj>
            <w:docPartGallery w:val="Page Numbers (Top of Page)"/>
            <w:docPartUnique/>
          </w:docPartObj>
        </w:sdtPr>
        <w:sdtEndPr/>
        <w:sdtContent>
          <w:p w:rsidR="00772885" w:rsidRDefault="00772885">
            <w:pPr>
              <w:pStyle w:val="Footer"/>
              <w:jc w:val="right"/>
            </w:pPr>
            <w:r w:rsidRPr="00F21254">
              <w:rPr>
                <w:sz w:val="20"/>
                <w:szCs w:val="20"/>
              </w:rPr>
              <w:t xml:space="preserve">Page </w:t>
            </w:r>
            <w:r w:rsidRPr="00F21254">
              <w:rPr>
                <w:b/>
                <w:bCs/>
                <w:sz w:val="20"/>
                <w:szCs w:val="20"/>
              </w:rPr>
              <w:fldChar w:fldCharType="begin"/>
            </w:r>
            <w:r w:rsidRPr="00F21254">
              <w:rPr>
                <w:b/>
                <w:bCs/>
                <w:sz w:val="20"/>
                <w:szCs w:val="20"/>
              </w:rPr>
              <w:instrText xml:space="preserve"> PAGE </w:instrText>
            </w:r>
            <w:r w:rsidRPr="00F21254">
              <w:rPr>
                <w:b/>
                <w:bCs/>
                <w:sz w:val="20"/>
                <w:szCs w:val="20"/>
              </w:rPr>
              <w:fldChar w:fldCharType="separate"/>
            </w:r>
            <w:r w:rsidR="00894529">
              <w:rPr>
                <w:b/>
                <w:bCs/>
                <w:noProof/>
                <w:sz w:val="20"/>
                <w:szCs w:val="20"/>
              </w:rPr>
              <w:t>3</w:t>
            </w:r>
            <w:r w:rsidRPr="00F21254">
              <w:rPr>
                <w:b/>
                <w:bCs/>
                <w:sz w:val="20"/>
                <w:szCs w:val="20"/>
              </w:rPr>
              <w:fldChar w:fldCharType="end"/>
            </w:r>
            <w:r w:rsidRPr="00F21254">
              <w:rPr>
                <w:sz w:val="20"/>
                <w:szCs w:val="20"/>
              </w:rPr>
              <w:t xml:space="preserve"> of </w:t>
            </w:r>
            <w:r w:rsidRPr="00F21254">
              <w:rPr>
                <w:b/>
                <w:bCs/>
                <w:sz w:val="20"/>
                <w:szCs w:val="20"/>
              </w:rPr>
              <w:fldChar w:fldCharType="begin"/>
            </w:r>
            <w:r w:rsidRPr="00F21254">
              <w:rPr>
                <w:b/>
                <w:bCs/>
                <w:sz w:val="20"/>
                <w:szCs w:val="20"/>
              </w:rPr>
              <w:instrText xml:space="preserve"> NUMPAGES  </w:instrText>
            </w:r>
            <w:r w:rsidRPr="00F21254">
              <w:rPr>
                <w:b/>
                <w:bCs/>
                <w:sz w:val="20"/>
                <w:szCs w:val="20"/>
              </w:rPr>
              <w:fldChar w:fldCharType="separate"/>
            </w:r>
            <w:r w:rsidR="00894529">
              <w:rPr>
                <w:b/>
                <w:bCs/>
                <w:noProof/>
                <w:sz w:val="20"/>
                <w:szCs w:val="20"/>
              </w:rPr>
              <w:t>5</w:t>
            </w:r>
            <w:r w:rsidRPr="00F21254">
              <w:rPr>
                <w:b/>
                <w:bCs/>
                <w:sz w:val="20"/>
                <w:szCs w:val="20"/>
              </w:rPr>
              <w:fldChar w:fldCharType="end"/>
            </w:r>
          </w:p>
        </w:sdtContent>
      </w:sdt>
    </w:sdtContent>
  </w:sdt>
  <w:p w:rsidR="00772885" w:rsidRDefault="0077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85" w:rsidRDefault="00772885" w:rsidP="00772885">
      <w:r>
        <w:separator/>
      </w:r>
    </w:p>
  </w:footnote>
  <w:footnote w:type="continuationSeparator" w:id="0">
    <w:p w:rsidR="00772885" w:rsidRDefault="00772885" w:rsidP="0077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85" w:rsidRPr="00F21254" w:rsidRDefault="00772885" w:rsidP="00772885">
    <w:pPr>
      <w:pStyle w:val="Header"/>
      <w:jc w:val="right"/>
      <w:rPr>
        <w:sz w:val="20"/>
        <w:szCs w:val="20"/>
      </w:rPr>
    </w:pPr>
    <w:r w:rsidRPr="00F21254">
      <w:rPr>
        <w:sz w:val="20"/>
        <w:szCs w:val="20"/>
      </w:rPr>
      <w:t>Goal 3 FY</w:t>
    </w:r>
    <w:r w:rsidR="00F21254" w:rsidRPr="00F21254">
      <w:rPr>
        <w:sz w:val="20"/>
        <w:szCs w:val="20"/>
      </w:rPr>
      <w:t xml:space="preserve"> </w:t>
    </w:r>
    <w:r w:rsidR="0022700D">
      <w:rPr>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013"/>
    <w:multiLevelType w:val="hybridMultilevel"/>
    <w:tmpl w:val="3584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D7F14"/>
    <w:multiLevelType w:val="hybridMultilevel"/>
    <w:tmpl w:val="B4A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993"/>
    <w:multiLevelType w:val="hybridMultilevel"/>
    <w:tmpl w:val="CE307FC6"/>
    <w:lvl w:ilvl="0" w:tplc="AA62F60C">
      <w:start w:val="1"/>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3" w15:restartNumberingAfterBreak="0">
    <w:nsid w:val="1B6C2E7A"/>
    <w:multiLevelType w:val="hybridMultilevel"/>
    <w:tmpl w:val="66EA7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13C32"/>
    <w:multiLevelType w:val="hybridMultilevel"/>
    <w:tmpl w:val="F4D4317A"/>
    <w:lvl w:ilvl="0" w:tplc="F988A374">
      <w:start w:val="1"/>
      <w:numFmt w:val="decimal"/>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606E"/>
    <w:multiLevelType w:val="hybridMultilevel"/>
    <w:tmpl w:val="88EEB25C"/>
    <w:lvl w:ilvl="0" w:tplc="F988A374">
      <w:start w:val="1"/>
      <w:numFmt w:val="decimal"/>
      <w:lvlText w:val="%1."/>
      <w:lvlJc w:val="left"/>
      <w:pPr>
        <w:ind w:left="720" w:hanging="360"/>
      </w:pPr>
      <w:rPr>
        <w:rFonts w:hint="default"/>
        <w:b/>
      </w:rPr>
    </w:lvl>
    <w:lvl w:ilvl="1" w:tplc="11880EE2">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632AC"/>
    <w:multiLevelType w:val="hybridMultilevel"/>
    <w:tmpl w:val="EC7C0860"/>
    <w:lvl w:ilvl="0" w:tplc="7310C8DA">
      <w:start w:val="1"/>
      <w:numFmt w:val="upperRoman"/>
      <w:lvlText w:val="%1."/>
      <w:lvlJc w:val="left"/>
      <w:pPr>
        <w:ind w:left="703" w:hanging="72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 w15:restartNumberingAfterBreak="0">
    <w:nsid w:val="362B58B4"/>
    <w:multiLevelType w:val="hybridMultilevel"/>
    <w:tmpl w:val="51964A5A"/>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15:restartNumberingAfterBreak="0">
    <w:nsid w:val="3D0D5D07"/>
    <w:multiLevelType w:val="hybridMultilevel"/>
    <w:tmpl w:val="2AA0B850"/>
    <w:lvl w:ilvl="0" w:tplc="99DC06CE">
      <w:start w:val="2"/>
      <w:numFmt w:val="upperRoman"/>
      <w:lvlText w:val="%1."/>
      <w:lvlJc w:val="left"/>
      <w:pPr>
        <w:ind w:left="596" w:hanging="72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9" w15:restartNumberingAfterBreak="0">
    <w:nsid w:val="439623E7"/>
    <w:multiLevelType w:val="hybridMultilevel"/>
    <w:tmpl w:val="6E8A2B10"/>
    <w:lvl w:ilvl="0" w:tplc="CE369C1E">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97B47CE"/>
    <w:multiLevelType w:val="hybridMultilevel"/>
    <w:tmpl w:val="04E4D924"/>
    <w:lvl w:ilvl="0" w:tplc="E4901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596D"/>
    <w:multiLevelType w:val="hybridMultilevel"/>
    <w:tmpl w:val="FF68E596"/>
    <w:lvl w:ilvl="0" w:tplc="ECB2F162">
      <w:start w:val="1"/>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12" w15:restartNumberingAfterBreak="0">
    <w:nsid w:val="4CE10D49"/>
    <w:multiLevelType w:val="hybridMultilevel"/>
    <w:tmpl w:val="9EE2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D61EC"/>
    <w:multiLevelType w:val="hybridMultilevel"/>
    <w:tmpl w:val="B39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5527A"/>
    <w:multiLevelType w:val="hybridMultilevel"/>
    <w:tmpl w:val="49D6077E"/>
    <w:lvl w:ilvl="0" w:tplc="AB848492">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15:restartNumberingAfterBreak="0">
    <w:nsid w:val="5D321450"/>
    <w:multiLevelType w:val="hybridMultilevel"/>
    <w:tmpl w:val="EDB4C0C2"/>
    <w:lvl w:ilvl="0" w:tplc="0409000D">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6" w15:restartNumberingAfterBreak="0">
    <w:nsid w:val="5DA55113"/>
    <w:multiLevelType w:val="hybridMultilevel"/>
    <w:tmpl w:val="3584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57809"/>
    <w:multiLevelType w:val="hybridMultilevel"/>
    <w:tmpl w:val="1B4213DE"/>
    <w:lvl w:ilvl="0" w:tplc="99DC06CE">
      <w:start w:val="2"/>
      <w:numFmt w:val="upperRoman"/>
      <w:lvlText w:val="%1."/>
      <w:lvlJc w:val="left"/>
      <w:pPr>
        <w:ind w:left="703" w:hanging="72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8" w15:restartNumberingAfterBreak="0">
    <w:nsid w:val="6DF223B5"/>
    <w:multiLevelType w:val="hybridMultilevel"/>
    <w:tmpl w:val="8342DDCE"/>
    <w:lvl w:ilvl="0" w:tplc="EC38D596">
      <w:start w:val="3"/>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9" w15:restartNumberingAfterBreak="0">
    <w:nsid w:val="72074F95"/>
    <w:multiLevelType w:val="hybridMultilevel"/>
    <w:tmpl w:val="BF2A29D4"/>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0" w15:restartNumberingAfterBreak="0">
    <w:nsid w:val="7347351A"/>
    <w:multiLevelType w:val="hybridMultilevel"/>
    <w:tmpl w:val="DC1A6830"/>
    <w:lvl w:ilvl="0" w:tplc="7A30185C">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21" w15:restartNumberingAfterBreak="0">
    <w:nsid w:val="736F359F"/>
    <w:multiLevelType w:val="hybridMultilevel"/>
    <w:tmpl w:val="A364D9DE"/>
    <w:lvl w:ilvl="0" w:tplc="0409000F">
      <w:start w:val="1"/>
      <w:numFmt w:val="decimal"/>
      <w:lvlText w:val="%1."/>
      <w:lvlJc w:val="left"/>
      <w:pPr>
        <w:ind w:left="596" w:hanging="72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2" w15:restartNumberingAfterBreak="0">
    <w:nsid w:val="786A4C05"/>
    <w:multiLevelType w:val="hybridMultilevel"/>
    <w:tmpl w:val="3584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18"/>
  </w:num>
  <w:num w:numId="5">
    <w:abstractNumId w:val="14"/>
  </w:num>
  <w:num w:numId="6">
    <w:abstractNumId w:val="20"/>
  </w:num>
  <w:num w:numId="7">
    <w:abstractNumId w:val="9"/>
  </w:num>
  <w:num w:numId="8">
    <w:abstractNumId w:val="10"/>
  </w:num>
  <w:num w:numId="9">
    <w:abstractNumId w:val="6"/>
  </w:num>
  <w:num w:numId="10">
    <w:abstractNumId w:val="17"/>
  </w:num>
  <w:num w:numId="11">
    <w:abstractNumId w:val="12"/>
  </w:num>
  <w:num w:numId="12">
    <w:abstractNumId w:val="11"/>
  </w:num>
  <w:num w:numId="13">
    <w:abstractNumId w:val="2"/>
  </w:num>
  <w:num w:numId="14">
    <w:abstractNumId w:val="7"/>
  </w:num>
  <w:num w:numId="15">
    <w:abstractNumId w:val="15"/>
  </w:num>
  <w:num w:numId="16">
    <w:abstractNumId w:val="5"/>
  </w:num>
  <w:num w:numId="17">
    <w:abstractNumId w:val="4"/>
  </w:num>
  <w:num w:numId="18">
    <w:abstractNumId w:val="22"/>
  </w:num>
  <w:num w:numId="19">
    <w:abstractNumId w:val="8"/>
  </w:num>
  <w:num w:numId="20">
    <w:abstractNumId w:val="21"/>
  </w:num>
  <w:num w:numId="21">
    <w:abstractNumId w:val="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A2"/>
    <w:rsid w:val="00017D5E"/>
    <w:rsid w:val="00031013"/>
    <w:rsid w:val="000349F6"/>
    <w:rsid w:val="00064265"/>
    <w:rsid w:val="00086D60"/>
    <w:rsid w:val="00097C53"/>
    <w:rsid w:val="000C4048"/>
    <w:rsid w:val="000E7C96"/>
    <w:rsid w:val="000F378E"/>
    <w:rsid w:val="000F7C37"/>
    <w:rsid w:val="00101AF5"/>
    <w:rsid w:val="00113809"/>
    <w:rsid w:val="00165D55"/>
    <w:rsid w:val="00174F21"/>
    <w:rsid w:val="001A2260"/>
    <w:rsid w:val="001C0709"/>
    <w:rsid w:val="001F5725"/>
    <w:rsid w:val="0022700D"/>
    <w:rsid w:val="00231BBF"/>
    <w:rsid w:val="00245DFD"/>
    <w:rsid w:val="00257194"/>
    <w:rsid w:val="002666EA"/>
    <w:rsid w:val="002B7E30"/>
    <w:rsid w:val="002C4ED1"/>
    <w:rsid w:val="002E5335"/>
    <w:rsid w:val="002E69C6"/>
    <w:rsid w:val="002F30B6"/>
    <w:rsid w:val="00334C98"/>
    <w:rsid w:val="00372AB7"/>
    <w:rsid w:val="003D1F25"/>
    <w:rsid w:val="00405848"/>
    <w:rsid w:val="00412F08"/>
    <w:rsid w:val="004274A1"/>
    <w:rsid w:val="00453E8D"/>
    <w:rsid w:val="00475C75"/>
    <w:rsid w:val="0049073B"/>
    <w:rsid w:val="004A2190"/>
    <w:rsid w:val="004E5790"/>
    <w:rsid w:val="004F5D8D"/>
    <w:rsid w:val="00511461"/>
    <w:rsid w:val="005354D6"/>
    <w:rsid w:val="00557653"/>
    <w:rsid w:val="00566AE9"/>
    <w:rsid w:val="00596AE4"/>
    <w:rsid w:val="005A03A4"/>
    <w:rsid w:val="005A4001"/>
    <w:rsid w:val="005A4280"/>
    <w:rsid w:val="005D628D"/>
    <w:rsid w:val="005D769C"/>
    <w:rsid w:val="005E1BA3"/>
    <w:rsid w:val="005F0EB3"/>
    <w:rsid w:val="0061580D"/>
    <w:rsid w:val="006441E8"/>
    <w:rsid w:val="006621A2"/>
    <w:rsid w:val="00662938"/>
    <w:rsid w:val="006E45A9"/>
    <w:rsid w:val="0072713F"/>
    <w:rsid w:val="00744530"/>
    <w:rsid w:val="00771F13"/>
    <w:rsid w:val="00772885"/>
    <w:rsid w:val="0077762B"/>
    <w:rsid w:val="007A3F30"/>
    <w:rsid w:val="007B6C77"/>
    <w:rsid w:val="007D65B8"/>
    <w:rsid w:val="007E6ADC"/>
    <w:rsid w:val="007F630D"/>
    <w:rsid w:val="00813ABD"/>
    <w:rsid w:val="00816C21"/>
    <w:rsid w:val="00830494"/>
    <w:rsid w:val="00883811"/>
    <w:rsid w:val="00890E90"/>
    <w:rsid w:val="00894529"/>
    <w:rsid w:val="00895A4C"/>
    <w:rsid w:val="008F78D3"/>
    <w:rsid w:val="00925851"/>
    <w:rsid w:val="009329E2"/>
    <w:rsid w:val="009473E3"/>
    <w:rsid w:val="0098251E"/>
    <w:rsid w:val="0098716F"/>
    <w:rsid w:val="009871DE"/>
    <w:rsid w:val="009906FD"/>
    <w:rsid w:val="009F63AA"/>
    <w:rsid w:val="00A06002"/>
    <w:rsid w:val="00A1223B"/>
    <w:rsid w:val="00A3189D"/>
    <w:rsid w:val="00A71049"/>
    <w:rsid w:val="00A733C4"/>
    <w:rsid w:val="00AD4D78"/>
    <w:rsid w:val="00AE2537"/>
    <w:rsid w:val="00AF6516"/>
    <w:rsid w:val="00B1550F"/>
    <w:rsid w:val="00B23C6C"/>
    <w:rsid w:val="00B50D56"/>
    <w:rsid w:val="00BD64E5"/>
    <w:rsid w:val="00C12948"/>
    <w:rsid w:val="00C1579E"/>
    <w:rsid w:val="00C158B0"/>
    <w:rsid w:val="00C2335D"/>
    <w:rsid w:val="00C271B3"/>
    <w:rsid w:val="00C411D5"/>
    <w:rsid w:val="00C41808"/>
    <w:rsid w:val="00C830D5"/>
    <w:rsid w:val="00CE5D7D"/>
    <w:rsid w:val="00CF4203"/>
    <w:rsid w:val="00D02482"/>
    <w:rsid w:val="00D05620"/>
    <w:rsid w:val="00D4034B"/>
    <w:rsid w:val="00DF5565"/>
    <w:rsid w:val="00E11D4B"/>
    <w:rsid w:val="00E22BC4"/>
    <w:rsid w:val="00E439E0"/>
    <w:rsid w:val="00E90961"/>
    <w:rsid w:val="00EA5F1E"/>
    <w:rsid w:val="00EB3D4E"/>
    <w:rsid w:val="00ED500C"/>
    <w:rsid w:val="00EF5B91"/>
    <w:rsid w:val="00F105AB"/>
    <w:rsid w:val="00F125B2"/>
    <w:rsid w:val="00F143D0"/>
    <w:rsid w:val="00F2114D"/>
    <w:rsid w:val="00F21254"/>
    <w:rsid w:val="00F4372D"/>
    <w:rsid w:val="00F5209C"/>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407E4F-9598-4E67-A73C-F3E087C0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5C75"/>
    <w:pPr>
      <w:keepNext/>
      <w:outlineLvl w:val="0"/>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73B"/>
    <w:pPr>
      <w:ind w:left="720"/>
      <w:contextualSpacing/>
    </w:pPr>
  </w:style>
  <w:style w:type="paragraph" w:styleId="Header">
    <w:name w:val="header"/>
    <w:basedOn w:val="Normal"/>
    <w:link w:val="HeaderChar"/>
    <w:uiPriority w:val="99"/>
    <w:unhideWhenUsed/>
    <w:rsid w:val="00772885"/>
    <w:pPr>
      <w:tabs>
        <w:tab w:val="center" w:pos="4680"/>
        <w:tab w:val="right" w:pos="9360"/>
      </w:tabs>
    </w:pPr>
  </w:style>
  <w:style w:type="character" w:customStyle="1" w:styleId="HeaderChar">
    <w:name w:val="Header Char"/>
    <w:basedOn w:val="DefaultParagraphFont"/>
    <w:link w:val="Header"/>
    <w:uiPriority w:val="99"/>
    <w:rsid w:val="007728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885"/>
    <w:pPr>
      <w:tabs>
        <w:tab w:val="center" w:pos="4680"/>
        <w:tab w:val="right" w:pos="9360"/>
      </w:tabs>
    </w:pPr>
  </w:style>
  <w:style w:type="character" w:customStyle="1" w:styleId="FooterChar">
    <w:name w:val="Footer Char"/>
    <w:basedOn w:val="DefaultParagraphFont"/>
    <w:link w:val="Footer"/>
    <w:uiPriority w:val="99"/>
    <w:rsid w:val="0077288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13ABD"/>
    <w:pPr>
      <w:ind w:left="-107"/>
    </w:pPr>
    <w:rPr>
      <w:rFonts w:ascii="Garamond" w:hAnsi="Garamond"/>
      <w:sz w:val="22"/>
      <w:szCs w:val="22"/>
    </w:rPr>
  </w:style>
  <w:style w:type="character" w:customStyle="1" w:styleId="BodyTextIndentChar">
    <w:name w:val="Body Text Indent Char"/>
    <w:basedOn w:val="DefaultParagraphFont"/>
    <w:link w:val="BodyTextIndent"/>
    <w:uiPriority w:val="99"/>
    <w:rsid w:val="00813ABD"/>
    <w:rPr>
      <w:rFonts w:ascii="Garamond" w:eastAsia="Times New Roman" w:hAnsi="Garamond" w:cs="Times New Roman"/>
    </w:rPr>
  </w:style>
  <w:style w:type="paragraph" w:styleId="BodyText">
    <w:name w:val="Body Text"/>
    <w:basedOn w:val="Normal"/>
    <w:link w:val="BodyTextChar"/>
    <w:uiPriority w:val="99"/>
    <w:unhideWhenUsed/>
    <w:rsid w:val="00813ABD"/>
    <w:rPr>
      <w:rFonts w:ascii="Garamond" w:hAnsi="Garamond"/>
      <w:sz w:val="22"/>
      <w:szCs w:val="22"/>
    </w:rPr>
  </w:style>
  <w:style w:type="character" w:customStyle="1" w:styleId="BodyTextChar">
    <w:name w:val="Body Text Char"/>
    <w:basedOn w:val="DefaultParagraphFont"/>
    <w:link w:val="BodyText"/>
    <w:uiPriority w:val="99"/>
    <w:rsid w:val="00813ABD"/>
    <w:rPr>
      <w:rFonts w:ascii="Garamond" w:eastAsia="Times New Roman" w:hAnsi="Garamond" w:cs="Times New Roman"/>
    </w:rPr>
  </w:style>
  <w:style w:type="character" w:customStyle="1" w:styleId="Heading1Char">
    <w:name w:val="Heading 1 Char"/>
    <w:basedOn w:val="DefaultParagraphFont"/>
    <w:link w:val="Heading1"/>
    <w:uiPriority w:val="9"/>
    <w:rsid w:val="00475C75"/>
    <w:rPr>
      <w:rFonts w:ascii="Garamond" w:eastAsia="Times New Roman" w:hAnsi="Garamond"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Julie (jfodor@uidaho.edu)</dc:creator>
  <cp:lastModifiedBy>Cari</cp:lastModifiedBy>
  <cp:revision>9</cp:revision>
  <cp:lastPrinted>2014-07-23T18:01:00Z</cp:lastPrinted>
  <dcterms:created xsi:type="dcterms:W3CDTF">2015-07-24T23:25:00Z</dcterms:created>
  <dcterms:modified xsi:type="dcterms:W3CDTF">2015-07-24T23:36:00Z</dcterms:modified>
</cp:coreProperties>
</file>